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7CE52" w14:textId="77777777" w:rsidR="00F809F5" w:rsidRDefault="00F809F5" w:rsidP="00F809F5">
      <w:pPr>
        <w:spacing w:line="240" w:lineRule="auto"/>
        <w:jc w:val="center"/>
        <w:rPr>
          <w:rFonts w:eastAsia="Calibri" w:cs="Times New Roman"/>
          <w:szCs w:val="24"/>
        </w:rPr>
      </w:pPr>
      <w:r>
        <w:rPr>
          <w:rFonts w:eastAsia="Calibri" w:cs="Times New Roman"/>
          <w:szCs w:val="24"/>
        </w:rPr>
        <w:t>UNITED STATES DISTRICT COURT</w:t>
      </w:r>
    </w:p>
    <w:p w14:paraId="49F32875" w14:textId="77777777" w:rsidR="00F809F5" w:rsidRDefault="00F809F5" w:rsidP="00F809F5">
      <w:pPr>
        <w:spacing w:line="240" w:lineRule="auto"/>
        <w:jc w:val="center"/>
        <w:rPr>
          <w:rFonts w:eastAsia="Calibri" w:cs="Times New Roman"/>
          <w:szCs w:val="24"/>
        </w:rPr>
      </w:pPr>
    </w:p>
    <w:p w14:paraId="1063F656" w14:textId="77777777" w:rsidR="00F809F5" w:rsidRDefault="00F809F5" w:rsidP="00F809F5">
      <w:pPr>
        <w:spacing w:line="240" w:lineRule="auto"/>
        <w:ind w:left="107"/>
        <w:jc w:val="center"/>
        <w:rPr>
          <w:rFonts w:eastAsia="Times New Roman" w:cs="Times New Roman"/>
          <w:szCs w:val="24"/>
        </w:rPr>
      </w:pPr>
      <w:r>
        <w:rPr>
          <w:rFonts w:eastAsia="Calibri" w:cs="Times New Roman"/>
          <w:szCs w:val="24"/>
        </w:rPr>
        <w:t>DISTRICT OF MOOT</w:t>
      </w:r>
    </w:p>
    <w:tbl>
      <w:tblPr>
        <w:tblStyle w:val="TableGrid2"/>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F809F5" w14:paraId="10B6A396" w14:textId="77777777" w:rsidTr="007F485A">
        <w:tc>
          <w:tcPr>
            <w:tcW w:w="4788" w:type="dxa"/>
            <w:tcBorders>
              <w:top w:val="nil"/>
              <w:left w:val="nil"/>
              <w:bottom w:val="single" w:sz="4" w:space="0" w:color="auto"/>
              <w:right w:val="nil"/>
            </w:tcBorders>
          </w:tcPr>
          <w:p w14:paraId="65EDEEF2" w14:textId="77777777" w:rsidR="00F809F5" w:rsidRDefault="00F809F5" w:rsidP="007F485A">
            <w:pPr>
              <w:spacing w:line="240" w:lineRule="auto"/>
              <w:rPr>
                <w:rFonts w:eastAsia="Calibri"/>
              </w:rPr>
            </w:pPr>
          </w:p>
        </w:tc>
        <w:tc>
          <w:tcPr>
            <w:tcW w:w="4788" w:type="dxa"/>
            <w:tcBorders>
              <w:top w:val="nil"/>
              <w:left w:val="nil"/>
              <w:bottom w:val="single" w:sz="4" w:space="0" w:color="auto"/>
              <w:right w:val="nil"/>
            </w:tcBorders>
          </w:tcPr>
          <w:p w14:paraId="73F4B279" w14:textId="77777777" w:rsidR="00F809F5" w:rsidRDefault="00F809F5" w:rsidP="007F485A">
            <w:pPr>
              <w:spacing w:line="240" w:lineRule="auto"/>
              <w:rPr>
                <w:rFonts w:eastAsia="Calibri"/>
              </w:rPr>
            </w:pPr>
          </w:p>
          <w:p w14:paraId="0D6FAFC4" w14:textId="77777777" w:rsidR="00F809F5" w:rsidRDefault="00F809F5" w:rsidP="007F485A">
            <w:pPr>
              <w:spacing w:line="240" w:lineRule="auto"/>
              <w:jc w:val="right"/>
              <w:rPr>
                <w:rFonts w:eastAsia="Calibri"/>
              </w:rPr>
            </w:pPr>
          </w:p>
        </w:tc>
      </w:tr>
      <w:tr w:rsidR="00F809F5" w14:paraId="56552AA7" w14:textId="77777777" w:rsidTr="007F485A">
        <w:tc>
          <w:tcPr>
            <w:tcW w:w="4788" w:type="dxa"/>
            <w:tcBorders>
              <w:top w:val="single" w:sz="4" w:space="0" w:color="auto"/>
              <w:left w:val="nil"/>
              <w:bottom w:val="single" w:sz="4" w:space="0" w:color="auto"/>
              <w:right w:val="nil"/>
            </w:tcBorders>
          </w:tcPr>
          <w:p w14:paraId="49AE5981" w14:textId="77777777" w:rsidR="00F809F5" w:rsidRDefault="00F809F5" w:rsidP="007F485A">
            <w:pPr>
              <w:spacing w:line="240" w:lineRule="auto"/>
              <w:rPr>
                <w:rFonts w:eastAsia="Calibri"/>
              </w:rPr>
            </w:pPr>
          </w:p>
          <w:p w14:paraId="40AC838D" w14:textId="77777777" w:rsidR="00F809F5" w:rsidRDefault="00F809F5" w:rsidP="007F485A">
            <w:pPr>
              <w:spacing w:line="240" w:lineRule="auto"/>
              <w:rPr>
                <w:rFonts w:eastAsia="Calibri"/>
              </w:rPr>
            </w:pPr>
            <w:r>
              <w:rPr>
                <w:rFonts w:eastAsia="Calibri"/>
              </w:rPr>
              <w:t>OGS TV, Inc.</w:t>
            </w:r>
            <w:r w:rsidR="00E14AAB">
              <w:rPr>
                <w:rFonts w:eastAsia="Calibri"/>
              </w:rPr>
              <w:t>,</w:t>
            </w:r>
          </w:p>
          <w:p w14:paraId="353FA252" w14:textId="77777777" w:rsidR="00F809F5" w:rsidRDefault="00F809F5" w:rsidP="007F485A">
            <w:pPr>
              <w:spacing w:line="240" w:lineRule="auto"/>
              <w:rPr>
                <w:rFonts w:eastAsia="Calibri"/>
              </w:rPr>
            </w:pPr>
          </w:p>
          <w:p w14:paraId="6543056B" w14:textId="77777777" w:rsidR="00F809F5" w:rsidRDefault="00F809F5" w:rsidP="007F485A">
            <w:pPr>
              <w:spacing w:line="240" w:lineRule="auto"/>
              <w:ind w:left="2880"/>
              <w:rPr>
                <w:rFonts w:eastAsia="Calibri"/>
              </w:rPr>
            </w:pPr>
            <w:r>
              <w:rPr>
                <w:rFonts w:eastAsia="Calibri"/>
              </w:rPr>
              <w:t>Plaintiff,</w:t>
            </w:r>
          </w:p>
          <w:p w14:paraId="5733CDB6" w14:textId="77777777" w:rsidR="00F809F5" w:rsidRDefault="00F809F5" w:rsidP="007F485A">
            <w:pPr>
              <w:spacing w:line="240" w:lineRule="auto"/>
              <w:rPr>
                <w:rFonts w:eastAsia="Calibri"/>
              </w:rPr>
            </w:pPr>
          </w:p>
          <w:p w14:paraId="796791E9" w14:textId="77777777" w:rsidR="00F809F5" w:rsidRDefault="00F809F5" w:rsidP="007F485A">
            <w:pPr>
              <w:spacing w:line="240" w:lineRule="auto"/>
              <w:rPr>
                <w:rFonts w:eastAsia="Calibri"/>
              </w:rPr>
            </w:pPr>
            <w:r>
              <w:rPr>
                <w:rFonts w:eastAsia="Calibri"/>
              </w:rPr>
              <w:t>vs.</w:t>
            </w:r>
          </w:p>
          <w:p w14:paraId="15558CD6" w14:textId="77777777" w:rsidR="00F809F5" w:rsidRDefault="00F809F5" w:rsidP="007F485A">
            <w:pPr>
              <w:spacing w:line="240" w:lineRule="auto"/>
              <w:rPr>
                <w:rFonts w:eastAsia="Calibri"/>
              </w:rPr>
            </w:pPr>
          </w:p>
          <w:p w14:paraId="0E08A485" w14:textId="77777777" w:rsidR="00F809F5" w:rsidRDefault="00F809F5" w:rsidP="007F485A">
            <w:pPr>
              <w:spacing w:line="240" w:lineRule="auto"/>
              <w:rPr>
                <w:rFonts w:eastAsia="Calibri"/>
              </w:rPr>
            </w:pPr>
            <w:r>
              <w:rPr>
                <w:rFonts w:eastAsia="Calibri"/>
              </w:rPr>
              <w:t xml:space="preserve">Elizabeth Lime, and </w:t>
            </w:r>
            <w:proofErr w:type="spellStart"/>
            <w:r>
              <w:rPr>
                <w:rFonts w:eastAsia="Calibri"/>
              </w:rPr>
              <w:t>TinyTV</w:t>
            </w:r>
            <w:proofErr w:type="spellEnd"/>
            <w:r>
              <w:rPr>
                <w:rFonts w:eastAsia="Calibri"/>
              </w:rPr>
              <w:t>, Inc.</w:t>
            </w:r>
            <w:r w:rsidR="006F4094">
              <w:rPr>
                <w:rFonts w:eastAsia="Calibri"/>
              </w:rPr>
              <w:t>,</w:t>
            </w:r>
          </w:p>
          <w:p w14:paraId="7C9C2D52" w14:textId="77777777" w:rsidR="00F809F5" w:rsidRDefault="00F809F5" w:rsidP="007F485A">
            <w:pPr>
              <w:spacing w:line="240" w:lineRule="auto"/>
              <w:rPr>
                <w:rFonts w:eastAsia="Calibri"/>
              </w:rPr>
            </w:pPr>
          </w:p>
          <w:p w14:paraId="0E83AD09" w14:textId="77777777" w:rsidR="00F809F5" w:rsidRDefault="00F809F5" w:rsidP="007F485A">
            <w:pPr>
              <w:spacing w:line="240" w:lineRule="auto"/>
              <w:ind w:left="2880"/>
              <w:rPr>
                <w:rFonts w:eastAsia="Calibri"/>
              </w:rPr>
            </w:pPr>
            <w:r>
              <w:rPr>
                <w:rFonts w:eastAsia="Calibri"/>
              </w:rPr>
              <w:t>Defendants.</w:t>
            </w:r>
          </w:p>
          <w:p w14:paraId="6C91EAB0" w14:textId="77777777" w:rsidR="00F809F5" w:rsidRDefault="00F809F5" w:rsidP="007F485A">
            <w:pPr>
              <w:spacing w:line="240" w:lineRule="auto"/>
              <w:rPr>
                <w:rFonts w:eastAsia="Calibri"/>
              </w:rPr>
            </w:pPr>
          </w:p>
        </w:tc>
        <w:tc>
          <w:tcPr>
            <w:tcW w:w="4788" w:type="dxa"/>
            <w:tcBorders>
              <w:top w:val="single" w:sz="4" w:space="0" w:color="auto"/>
              <w:left w:val="nil"/>
              <w:bottom w:val="single" w:sz="4" w:space="0" w:color="auto"/>
              <w:right w:val="nil"/>
            </w:tcBorders>
            <w:vAlign w:val="center"/>
          </w:tcPr>
          <w:p w14:paraId="34E55986" w14:textId="77777777" w:rsidR="00F809F5" w:rsidRDefault="00F809F5" w:rsidP="007F485A">
            <w:pPr>
              <w:spacing w:line="240" w:lineRule="auto"/>
              <w:jc w:val="right"/>
              <w:rPr>
                <w:rFonts w:eastAsia="Calibri"/>
              </w:rPr>
            </w:pPr>
            <w:r>
              <w:rPr>
                <w:rFonts w:eastAsia="Calibri"/>
              </w:rPr>
              <w:t>Court File No. 27-CV-12-1234</w:t>
            </w:r>
          </w:p>
          <w:p w14:paraId="5DA83F9F" w14:textId="77777777" w:rsidR="00F809F5" w:rsidRDefault="00F809F5" w:rsidP="007F485A">
            <w:pPr>
              <w:spacing w:line="240" w:lineRule="auto"/>
              <w:jc w:val="right"/>
              <w:rPr>
                <w:rFonts w:eastAsia="Calibri"/>
              </w:rPr>
            </w:pPr>
          </w:p>
          <w:p w14:paraId="1A9D9DB7" w14:textId="77777777" w:rsidR="00F809F5" w:rsidRDefault="00F809F5" w:rsidP="007F485A">
            <w:pPr>
              <w:spacing w:line="240" w:lineRule="auto"/>
              <w:jc w:val="right"/>
              <w:rPr>
                <w:rFonts w:eastAsia="Calibri"/>
                <w:b/>
              </w:rPr>
            </w:pPr>
            <w:r>
              <w:rPr>
                <w:rFonts w:eastAsia="Calibri"/>
                <w:b/>
              </w:rPr>
              <w:t>MEMORANDUM IN SUPPORT OF DEFENDANTS’ MOTION FOR DISMISSAL UNDER FEDERAL RULE OF CIVIL PROCEDURE 12(b)(6)</w:t>
            </w:r>
          </w:p>
          <w:p w14:paraId="2BB83EFD" w14:textId="77777777" w:rsidR="00F809F5" w:rsidRDefault="00F809F5" w:rsidP="007F485A">
            <w:pPr>
              <w:spacing w:line="240" w:lineRule="auto"/>
              <w:jc w:val="right"/>
              <w:rPr>
                <w:rFonts w:eastAsia="Calibri"/>
                <w:b/>
              </w:rPr>
            </w:pPr>
          </w:p>
        </w:tc>
      </w:tr>
    </w:tbl>
    <w:p w14:paraId="1C523218" w14:textId="77777777" w:rsidR="00F809F5" w:rsidRPr="00025357" w:rsidRDefault="00F809F5" w:rsidP="00F809F5">
      <w:pPr>
        <w:spacing w:line="240" w:lineRule="auto"/>
        <w:ind w:left="107"/>
        <w:rPr>
          <w:rFonts w:eastAsia="Times New Roman" w:cs="Times New Roman"/>
          <w:b/>
          <w:szCs w:val="24"/>
        </w:rPr>
      </w:pPr>
    </w:p>
    <w:p w14:paraId="18588C00" w14:textId="77777777" w:rsidR="00F809F5" w:rsidRPr="00025357" w:rsidRDefault="00F809F5" w:rsidP="00F809F5">
      <w:pPr>
        <w:jc w:val="center"/>
        <w:rPr>
          <w:b/>
          <w:u w:val="single"/>
        </w:rPr>
      </w:pPr>
      <w:r w:rsidRPr="00025357">
        <w:rPr>
          <w:b/>
          <w:u w:val="single"/>
        </w:rPr>
        <w:t>INTRODUCTION</w:t>
      </w:r>
    </w:p>
    <w:p w14:paraId="17FFA834" w14:textId="77777777" w:rsidR="00F809F5" w:rsidRDefault="006F4094" w:rsidP="006F4094">
      <w:pPr>
        <w:jc w:val="both"/>
      </w:pPr>
      <w:r>
        <w:tab/>
        <w:t>This M</w:t>
      </w:r>
      <w:r w:rsidR="00F809F5">
        <w:t xml:space="preserve">emorandum is in support of Defendants’ Motion for Dismissal. </w:t>
      </w:r>
      <w:r>
        <w:t xml:space="preserve">Ms. Lime and </w:t>
      </w:r>
      <w:proofErr w:type="spellStart"/>
      <w:r>
        <w:t>TinyTV</w:t>
      </w:r>
      <w:proofErr w:type="spellEnd"/>
      <w:r>
        <w:t xml:space="preserve"> </w:t>
      </w:r>
      <w:r w:rsidR="00F809F5">
        <w:t>request</w:t>
      </w:r>
      <w:r w:rsidR="0091167D">
        <w:t xml:space="preserve"> the C</w:t>
      </w:r>
      <w:r>
        <w:t>ourt grant the M</w:t>
      </w:r>
      <w:r w:rsidR="00F809F5">
        <w:t xml:space="preserve">otion on the grounds that the plain language of the statute, canons of interpretation, </w:t>
      </w:r>
      <w:r w:rsidR="0091167D">
        <w:t>legislative history, policy considerations,</w:t>
      </w:r>
      <w:r w:rsidR="00F809F5">
        <w:t xml:space="preserve"> rule of lenity, and case law all show that </w:t>
      </w:r>
      <w:r>
        <w:t xml:space="preserve">contracts creating a work-for-hire must be executed prior to creation of the work. Because the contract was not signed until after the work was created, </w:t>
      </w:r>
      <w:r w:rsidR="00F809F5">
        <w:t>Plaintiff has failed to state a claim upon which relief can be granted. For these reasons, and for those set forth in this Memorandum, the Court should grant the Defendants’ Motion for Dismissal.</w:t>
      </w:r>
    </w:p>
    <w:p w14:paraId="45E4A251" w14:textId="77777777" w:rsidR="004C1B7C" w:rsidRDefault="004C1B7C" w:rsidP="004C1B7C">
      <w:pPr>
        <w:jc w:val="center"/>
        <w:rPr>
          <w:b/>
          <w:u w:val="single"/>
        </w:rPr>
      </w:pPr>
      <w:r>
        <w:rPr>
          <w:b/>
          <w:u w:val="single"/>
        </w:rPr>
        <w:t>STANDARD OF REVIEW</w:t>
      </w:r>
    </w:p>
    <w:p w14:paraId="6F33C594" w14:textId="77777777" w:rsidR="00E8516D" w:rsidRPr="00E8516D" w:rsidRDefault="004C1B7C" w:rsidP="00E8516D">
      <w:pPr>
        <w:spacing w:after="240"/>
        <w:rPr>
          <w:rFonts w:eastAsia="Times New Roman" w:cs="Times New Roman"/>
          <w:szCs w:val="24"/>
        </w:rPr>
      </w:pPr>
      <w:r>
        <w:tab/>
        <w:t xml:space="preserve">In order to survive a Motion for Dismissal under Rule 12(b)(6), </w:t>
      </w:r>
      <w:r w:rsidR="00E8516D">
        <w:t xml:space="preserve">Plaintiff’s factual allegations must be enough to elevate the right to relief above the position of being mere speculation. </w:t>
      </w:r>
      <w:r w:rsidR="00E8516D" w:rsidRPr="00E8516D">
        <w:rPr>
          <w:rFonts w:eastAsia="Times New Roman" w:cs="Times New Roman"/>
          <w:szCs w:val="24"/>
          <w:u w:val="single"/>
        </w:rPr>
        <w:t xml:space="preserve">Bell Atl. Corp. v. </w:t>
      </w:r>
      <w:proofErr w:type="spellStart"/>
      <w:r w:rsidR="00E8516D" w:rsidRPr="00E8516D">
        <w:rPr>
          <w:rFonts w:eastAsia="Times New Roman" w:cs="Times New Roman"/>
          <w:szCs w:val="24"/>
          <w:u w:val="single"/>
        </w:rPr>
        <w:t>Twombly</w:t>
      </w:r>
      <w:proofErr w:type="spellEnd"/>
      <w:r w:rsidR="00E8516D">
        <w:rPr>
          <w:rFonts w:eastAsia="Times New Roman" w:cs="Times New Roman"/>
          <w:szCs w:val="24"/>
        </w:rPr>
        <w:t>, 550 U.S. 544</w:t>
      </w:r>
      <w:r w:rsidR="00E8516D" w:rsidRPr="00E8516D">
        <w:rPr>
          <w:rFonts w:eastAsia="Times New Roman" w:cs="Times New Roman"/>
          <w:szCs w:val="24"/>
        </w:rPr>
        <w:t>, 127 S. C</w:t>
      </w:r>
      <w:r w:rsidR="00E8516D">
        <w:rPr>
          <w:rFonts w:eastAsia="Times New Roman" w:cs="Times New Roman"/>
          <w:szCs w:val="24"/>
        </w:rPr>
        <w:t>t. 1955, 1965</w:t>
      </w:r>
      <w:r w:rsidR="00E8516D" w:rsidRPr="00E8516D">
        <w:rPr>
          <w:rFonts w:eastAsia="Times New Roman" w:cs="Times New Roman"/>
          <w:szCs w:val="24"/>
        </w:rPr>
        <w:t xml:space="preserve"> (2007)</w:t>
      </w:r>
      <w:r w:rsidR="00E8516D">
        <w:rPr>
          <w:rFonts w:eastAsia="Times New Roman" w:cs="Times New Roman"/>
          <w:szCs w:val="24"/>
        </w:rPr>
        <w:t xml:space="preserve">. A mere possibility that Ms. Lime and </w:t>
      </w:r>
      <w:proofErr w:type="spellStart"/>
      <w:r w:rsidR="00E8516D">
        <w:rPr>
          <w:rFonts w:eastAsia="Times New Roman" w:cs="Times New Roman"/>
          <w:szCs w:val="24"/>
        </w:rPr>
        <w:t>TinyTV</w:t>
      </w:r>
      <w:proofErr w:type="spellEnd"/>
      <w:r w:rsidR="00E8516D">
        <w:rPr>
          <w:rFonts w:eastAsia="Times New Roman" w:cs="Times New Roman"/>
          <w:szCs w:val="24"/>
        </w:rPr>
        <w:t xml:space="preserve"> have acted unlawfully is not sufficient; the complaint must plead facts that cross the line between possibility and plausibility of entitlement to relief. </w:t>
      </w:r>
      <w:proofErr w:type="gramStart"/>
      <w:r w:rsidR="00E8516D" w:rsidRPr="00E8516D">
        <w:rPr>
          <w:rFonts w:eastAsia="Times New Roman" w:cs="Times New Roman"/>
          <w:szCs w:val="24"/>
          <w:u w:val="single"/>
        </w:rPr>
        <w:lastRenderedPageBreak/>
        <w:t xml:space="preserve">Ashcroft v. </w:t>
      </w:r>
      <w:proofErr w:type="spellStart"/>
      <w:r w:rsidR="00E8516D" w:rsidRPr="00E8516D">
        <w:rPr>
          <w:rFonts w:eastAsia="Times New Roman" w:cs="Times New Roman"/>
          <w:szCs w:val="24"/>
          <w:u w:val="single"/>
        </w:rPr>
        <w:t>Iqbal</w:t>
      </w:r>
      <w:proofErr w:type="spellEnd"/>
      <w:r w:rsidR="00E8516D" w:rsidRPr="00E8516D">
        <w:rPr>
          <w:rFonts w:eastAsia="Times New Roman" w:cs="Times New Roman"/>
          <w:szCs w:val="24"/>
        </w:rPr>
        <w:t>, 556 U.S. 662, 129 S. Ct</w:t>
      </w:r>
      <w:r w:rsidR="00E8516D">
        <w:rPr>
          <w:rFonts w:eastAsia="Times New Roman" w:cs="Times New Roman"/>
          <w:szCs w:val="24"/>
        </w:rPr>
        <w:t xml:space="preserve">. 1937, 1949 </w:t>
      </w:r>
      <w:r w:rsidR="00E8516D" w:rsidRPr="00E8516D">
        <w:rPr>
          <w:rFonts w:eastAsia="Times New Roman" w:cs="Times New Roman"/>
          <w:szCs w:val="24"/>
        </w:rPr>
        <w:t>(2009)</w:t>
      </w:r>
      <w:r w:rsidR="00E8516D">
        <w:rPr>
          <w:rFonts w:eastAsia="Times New Roman" w:cs="Times New Roman"/>
          <w:szCs w:val="24"/>
        </w:rPr>
        <w:t>.</w:t>
      </w:r>
      <w:proofErr w:type="gramEnd"/>
      <w:r w:rsidR="00590B89">
        <w:rPr>
          <w:rFonts w:eastAsia="Times New Roman" w:cs="Times New Roman"/>
          <w:szCs w:val="24"/>
        </w:rPr>
        <w:t xml:space="preserve"> Plaintiffs have not crossed the line into plausibility, so the Court should grant the Defendants’ Motion for Dismissal.</w:t>
      </w:r>
    </w:p>
    <w:p w14:paraId="302FBBE6" w14:textId="77777777" w:rsidR="004C1B7C" w:rsidRPr="004C1B7C" w:rsidRDefault="004C1B7C" w:rsidP="004C1B7C"/>
    <w:p w14:paraId="32482738" w14:textId="77777777" w:rsidR="00F809F5" w:rsidRPr="00025357" w:rsidRDefault="00F809F5" w:rsidP="00F809F5">
      <w:pPr>
        <w:jc w:val="center"/>
        <w:rPr>
          <w:b/>
          <w:u w:val="single"/>
        </w:rPr>
      </w:pPr>
      <w:r w:rsidRPr="00025357">
        <w:rPr>
          <w:b/>
          <w:u w:val="single"/>
        </w:rPr>
        <w:t>FAC</w:t>
      </w:r>
      <w:r w:rsidR="00025357" w:rsidRPr="00025357">
        <w:rPr>
          <w:b/>
          <w:u w:val="single"/>
        </w:rPr>
        <w:t>TUAL BACKGROUND</w:t>
      </w:r>
    </w:p>
    <w:p w14:paraId="15155FD2" w14:textId="77777777" w:rsidR="004E43C0" w:rsidRDefault="004E43C0" w:rsidP="006F4094">
      <w:pPr>
        <w:jc w:val="both"/>
      </w:pPr>
      <w:r>
        <w:tab/>
        <w:t>Defendant Elizabeth Lime had over fifteen years of experience writing for television when Plaintiff first contacted h</w:t>
      </w:r>
      <w:r w:rsidR="006F4094">
        <w:t>er on March 27, 2010. (</w:t>
      </w:r>
      <w:proofErr w:type="spellStart"/>
      <w:r w:rsidR="006F4094">
        <w:t>Compl</w:t>
      </w:r>
      <w:proofErr w:type="spellEnd"/>
      <w:r w:rsidR="006F4094">
        <w:t>. ¶</w:t>
      </w:r>
      <w:r>
        <w:t>¶ 9, 11.) Prior to March 27, 2010, Ms. Lime had never worked with Plaintiff. (</w:t>
      </w:r>
      <w:r w:rsidR="00C1513C">
        <w:rPr>
          <w:u w:val="single"/>
        </w:rPr>
        <w:t>Id</w:t>
      </w:r>
      <w:r w:rsidR="00C1513C">
        <w:t>.</w:t>
      </w:r>
      <w:r>
        <w:t xml:space="preserve"> ¶ 11.) On March 27, 2010, Ms. Lime met with Dave Nelson, who works as an Executiv</w:t>
      </w:r>
      <w:r w:rsidR="00C1513C">
        <w:t>e Producer for Plaintiff. (</w:t>
      </w:r>
      <w:r w:rsidR="00C1513C">
        <w:rPr>
          <w:u w:val="single"/>
        </w:rPr>
        <w:t>Id</w:t>
      </w:r>
      <w:r>
        <w:t xml:space="preserve">. ¶ 12.) </w:t>
      </w:r>
      <w:r w:rsidR="00D817FF">
        <w:t>The thrust of the meeting was Plaintiff’s request that Ms. Lime author a screenplay entitled</w:t>
      </w:r>
      <w:r w:rsidR="00C1513C">
        <w:t xml:space="preserve"> “Anticipatory Repudiation.” (</w:t>
      </w:r>
      <w:r w:rsidR="00C1513C">
        <w:rPr>
          <w:u w:val="single"/>
        </w:rPr>
        <w:t>Id</w:t>
      </w:r>
      <w:r w:rsidR="00C1513C">
        <w:t>.</w:t>
      </w:r>
      <w:r w:rsidR="00D817FF">
        <w:t xml:space="preserve"> ¶ 9.) During this meeting, Dave Nelson told Ms. Lime that her work was for </w:t>
      </w:r>
      <w:r w:rsidR="00C1513C">
        <w:t>hire. (</w:t>
      </w:r>
      <w:r w:rsidR="00C1513C">
        <w:rPr>
          <w:u w:val="single"/>
        </w:rPr>
        <w:t>Id</w:t>
      </w:r>
      <w:r w:rsidR="00C1513C">
        <w:t>.</w:t>
      </w:r>
      <w:r w:rsidR="00D817FF">
        <w:t xml:space="preserve"> ¶ 16.) At Dave Nelson’s suggestion, no agreements were si</w:t>
      </w:r>
      <w:r w:rsidR="00C1513C">
        <w:t>gned during the meeting. (</w:t>
      </w:r>
      <w:r w:rsidR="00C1513C">
        <w:rPr>
          <w:u w:val="single"/>
        </w:rPr>
        <w:t>Id</w:t>
      </w:r>
      <w:r w:rsidR="00C1513C">
        <w:t>.</w:t>
      </w:r>
      <w:r w:rsidR="00D817FF">
        <w:t xml:space="preserve"> ¶ 20.)  </w:t>
      </w:r>
    </w:p>
    <w:p w14:paraId="7009B1E9" w14:textId="77777777" w:rsidR="00D817FF" w:rsidRDefault="00D817FF" w:rsidP="006F4094">
      <w:pPr>
        <w:jc w:val="both"/>
      </w:pPr>
      <w:r>
        <w:tab/>
        <w:t>On April 1, 2010, Ms. Lime submitted “Anticipatory Repudiation” to Plaintiff. (</w:t>
      </w:r>
      <w:proofErr w:type="spellStart"/>
      <w:r>
        <w:t>Compl</w:t>
      </w:r>
      <w:proofErr w:type="spellEnd"/>
      <w:r>
        <w:t xml:space="preserve">. ¶ 21.) On April 6, </w:t>
      </w:r>
      <w:r w:rsidR="008B1D24">
        <w:t>2010, Ms. Lime went to Plaintiff’s office for the purpose of picking up her payment for authoring “An</w:t>
      </w:r>
      <w:r w:rsidR="00C1513C">
        <w:t>ticipatory Repudiation.” (</w:t>
      </w:r>
      <w:r w:rsidR="00C1513C">
        <w:rPr>
          <w:u w:val="single"/>
        </w:rPr>
        <w:t>Id</w:t>
      </w:r>
      <w:r w:rsidR="00C1513C">
        <w:t>. ¶ 24.)  While at Plaintiff’s office to receive payment, Ms. Lime was presented with and signed</w:t>
      </w:r>
      <w:r w:rsidR="008B1D24">
        <w:t xml:space="preserve"> a document that she had never seen before, labeled “Wor</w:t>
      </w:r>
      <w:r w:rsidR="00C1513C">
        <w:t>k-Made-For-Hire Agreement.” (</w:t>
      </w:r>
      <w:r w:rsidR="00C1513C">
        <w:rPr>
          <w:u w:val="single"/>
        </w:rPr>
        <w:t>Id</w:t>
      </w:r>
      <w:r w:rsidR="00C1513C">
        <w:t>.</w:t>
      </w:r>
      <w:r w:rsidR="008B1D24">
        <w:t xml:space="preserve">) Dave Nelson also signed the document labeled “Work-Made-For-Hire Agreement” on April 6, 2010. </w:t>
      </w:r>
    </w:p>
    <w:p w14:paraId="3EFB2172" w14:textId="77777777" w:rsidR="00025357" w:rsidRDefault="00C1513C" w:rsidP="006F4094">
      <w:pPr>
        <w:jc w:val="both"/>
      </w:pPr>
      <w:r>
        <w:tab/>
        <w:t>Plaintiff</w:t>
      </w:r>
      <w:r w:rsidR="00025357">
        <w:t xml:space="preserve"> never aired “An</w:t>
      </w:r>
      <w:r>
        <w:t>ticipatory Repudiation.” (</w:t>
      </w:r>
      <w:r>
        <w:rPr>
          <w:u w:val="single"/>
        </w:rPr>
        <w:t>Id</w:t>
      </w:r>
      <w:r>
        <w:t>.</w:t>
      </w:r>
      <w:r w:rsidR="00025357">
        <w:t xml:space="preserve"> ¶ 26.) In August 2010, Ms. Lime worked with Defendant </w:t>
      </w:r>
      <w:proofErr w:type="spellStart"/>
      <w:r w:rsidR="00025357">
        <w:t>TinyTV</w:t>
      </w:r>
      <w:proofErr w:type="spellEnd"/>
      <w:r w:rsidR="00025357">
        <w:t xml:space="preserve"> to create a screenplay </w:t>
      </w:r>
      <w:r>
        <w:t>titled “The Love Below.” (</w:t>
      </w:r>
      <w:r>
        <w:rPr>
          <w:u w:val="single"/>
        </w:rPr>
        <w:t>Id</w:t>
      </w:r>
      <w:r>
        <w:t>.</w:t>
      </w:r>
      <w:r w:rsidR="00025357">
        <w:t xml:space="preserve"> ¶ 28.</w:t>
      </w:r>
      <w:r>
        <w:t>) “The Love Below” has similar</w:t>
      </w:r>
      <w:r w:rsidR="00025357">
        <w:t xml:space="preserve"> dialogue and storylines with “Anticipatory Repudiation,” although the setting, premise of the show, and the names and occupations of the characters are dif</w:t>
      </w:r>
      <w:r>
        <w:t>ferent. (</w:t>
      </w:r>
      <w:r>
        <w:rPr>
          <w:u w:val="single"/>
        </w:rPr>
        <w:t>Id</w:t>
      </w:r>
      <w:r>
        <w:t>.</w:t>
      </w:r>
      <w:r w:rsidR="00025357">
        <w:t xml:space="preserve"> ¶ 31.) “The Love Below” has been repeatedly broadcast on </w:t>
      </w:r>
      <w:proofErr w:type="spellStart"/>
      <w:r w:rsidR="00025357">
        <w:t>TinyTV’s</w:t>
      </w:r>
      <w:proofErr w:type="spellEnd"/>
      <w:r w:rsidR="00025357">
        <w:t xml:space="preserve"> television station. (</w:t>
      </w:r>
      <w:proofErr w:type="spellStart"/>
      <w:r w:rsidR="00025357">
        <w:t>Compl</w:t>
      </w:r>
      <w:proofErr w:type="spellEnd"/>
      <w:r w:rsidR="00025357">
        <w:t xml:space="preserve">. ¶ </w:t>
      </w:r>
      <w:r w:rsidR="00025357">
        <w:lastRenderedPageBreak/>
        <w:t xml:space="preserve">29.) Plaintiffs are suing, </w:t>
      </w:r>
      <w:r w:rsidR="006F135F">
        <w:t xml:space="preserve">claiming that Ms. Lime and </w:t>
      </w:r>
      <w:proofErr w:type="spellStart"/>
      <w:r w:rsidR="006F135F">
        <w:t>TinyTV</w:t>
      </w:r>
      <w:proofErr w:type="spellEnd"/>
      <w:r w:rsidR="006F135F">
        <w:t xml:space="preserve"> are infringing Plaintiff’s </w:t>
      </w:r>
      <w:r>
        <w:t xml:space="preserve">alleged </w:t>
      </w:r>
      <w:r w:rsidR="006F135F">
        <w:t>copyright.</w:t>
      </w:r>
      <w:r>
        <w:t xml:space="preserve"> (</w:t>
      </w:r>
      <w:r>
        <w:rPr>
          <w:i/>
        </w:rPr>
        <w:t xml:space="preserve">See generally </w:t>
      </w:r>
      <w:proofErr w:type="spellStart"/>
      <w:r>
        <w:t>Compl</w:t>
      </w:r>
      <w:proofErr w:type="spellEnd"/>
      <w:r>
        <w:t>.)</w:t>
      </w:r>
      <w:r w:rsidR="006F135F">
        <w:t xml:space="preserve"> </w:t>
      </w:r>
    </w:p>
    <w:p w14:paraId="433ED82C" w14:textId="77777777" w:rsidR="009674E5" w:rsidRDefault="009674E5" w:rsidP="009674E5">
      <w:pPr>
        <w:jc w:val="center"/>
        <w:rPr>
          <w:b/>
          <w:u w:val="single"/>
        </w:rPr>
      </w:pPr>
      <w:r>
        <w:rPr>
          <w:b/>
          <w:u w:val="single"/>
        </w:rPr>
        <w:t>ARGUMENT</w:t>
      </w:r>
    </w:p>
    <w:p w14:paraId="5CF7EDF1" w14:textId="77777777" w:rsidR="009674E5" w:rsidRDefault="005B54AB" w:rsidP="006F4094">
      <w:pPr>
        <w:jc w:val="both"/>
      </w:pPr>
      <w:r>
        <w:tab/>
        <w:t>In determining how to construe the requirement of a signed writing in 17 U.S.C. § 101(2), the Court should consider the following factors: the plain meaning of the statute, canons of interpretation, legislative history, the purpose and policy concerns of the statute, agency decisions, the rule of lenity, and pr</w:t>
      </w:r>
      <w:r w:rsidR="00C741DE">
        <w:t>ior court decisions. Upon</w:t>
      </w:r>
      <w:r>
        <w:t xml:space="preserve"> considering these factors, the Court should conclude that the intent of the legislature was to require that the writing be signed before the work is created.</w:t>
      </w:r>
    </w:p>
    <w:p w14:paraId="2E702E36" w14:textId="77777777" w:rsidR="00C741DE" w:rsidRDefault="00C741DE" w:rsidP="009674E5"/>
    <w:p w14:paraId="20A9AA88" w14:textId="77777777" w:rsidR="005B54AB" w:rsidRDefault="005B54AB" w:rsidP="00C671DF">
      <w:pPr>
        <w:spacing w:after="240" w:line="240" w:lineRule="auto"/>
        <w:ind w:left="720" w:hanging="720"/>
        <w:rPr>
          <w:b/>
        </w:rPr>
      </w:pPr>
      <w:r>
        <w:rPr>
          <w:b/>
        </w:rPr>
        <w:t xml:space="preserve">I. </w:t>
      </w:r>
      <w:r>
        <w:rPr>
          <w:b/>
        </w:rPr>
        <w:tab/>
        <w:t>THE PLAIN LANGUAGE OF THE STATUTE’S TEXT SHOWS THAT THE WRITING MUST BE SIGNED PRIOR TO THE CREATION OF THE WORK.</w:t>
      </w:r>
    </w:p>
    <w:p w14:paraId="27FFDFE0" w14:textId="77777777" w:rsidR="00C05041" w:rsidRPr="00C05041" w:rsidRDefault="007C3BD8" w:rsidP="009F0F60">
      <w:pPr>
        <w:spacing w:after="240"/>
        <w:jc w:val="both"/>
        <w:rPr>
          <w:rFonts w:eastAsia="Times New Roman" w:cs="Times New Roman"/>
          <w:szCs w:val="24"/>
        </w:rPr>
      </w:pPr>
      <w:r>
        <w:tab/>
        <w:t xml:space="preserve">When interpreting a statute, the first place to look is the plain meaning of the text. </w:t>
      </w:r>
      <w:proofErr w:type="gramStart"/>
      <w:r w:rsidR="00C671DF" w:rsidRPr="00C671DF">
        <w:rPr>
          <w:rFonts w:eastAsia="Times New Roman" w:cs="Times New Roman"/>
          <w:szCs w:val="24"/>
          <w:u w:val="single"/>
        </w:rPr>
        <w:t>United States v. Morison</w:t>
      </w:r>
      <w:r w:rsidR="00C671DF" w:rsidRPr="00C671DF">
        <w:rPr>
          <w:rFonts w:eastAsia="Times New Roman" w:cs="Times New Roman"/>
          <w:szCs w:val="24"/>
        </w:rPr>
        <w:t>, 844 F.2d 1057, 1064 (4th Cir. 1988)</w:t>
      </w:r>
      <w:r w:rsidR="00C671DF">
        <w:rPr>
          <w:rFonts w:eastAsia="Times New Roman" w:cs="Times New Roman"/>
          <w:szCs w:val="24"/>
        </w:rPr>
        <w:t>.</w:t>
      </w:r>
      <w:proofErr w:type="gramEnd"/>
      <w:r w:rsidR="00C671DF">
        <w:rPr>
          <w:rFonts w:eastAsia="Times New Roman" w:cs="Times New Roman"/>
          <w:szCs w:val="24"/>
        </w:rPr>
        <w:t xml:space="preserve"> If the plain meaning of the text is clear and unambiguous, the Court’s analysis must end with the statute’s plain language. </w:t>
      </w:r>
      <w:proofErr w:type="gramStart"/>
      <w:r w:rsidR="00C671DF" w:rsidRPr="00C671DF">
        <w:rPr>
          <w:rFonts w:eastAsia="Times New Roman" w:cs="Times New Roman"/>
          <w:szCs w:val="24"/>
          <w:u w:val="single"/>
        </w:rPr>
        <w:t>Hillman v. I.R.S.</w:t>
      </w:r>
      <w:r w:rsidR="00C671DF" w:rsidRPr="00C671DF">
        <w:rPr>
          <w:rFonts w:eastAsia="Times New Roman" w:cs="Times New Roman"/>
          <w:szCs w:val="24"/>
        </w:rPr>
        <w:t>, 263 F.3d 338, 342 (4th Cir. 2001)</w:t>
      </w:r>
      <w:r w:rsidR="00C671DF">
        <w:rPr>
          <w:rFonts w:eastAsia="Times New Roman" w:cs="Times New Roman"/>
          <w:szCs w:val="24"/>
        </w:rPr>
        <w:t>.</w:t>
      </w:r>
      <w:proofErr w:type="gramEnd"/>
      <w:r w:rsidR="00C671DF">
        <w:rPr>
          <w:rFonts w:eastAsia="Times New Roman" w:cs="Times New Roman"/>
          <w:szCs w:val="24"/>
        </w:rPr>
        <w:t xml:space="preserve"> </w:t>
      </w:r>
      <w:r w:rsidR="00C05041">
        <w:rPr>
          <w:rFonts w:eastAsia="Times New Roman" w:cs="Times New Roman"/>
          <w:szCs w:val="24"/>
        </w:rPr>
        <w:t>“I</w:t>
      </w:r>
      <w:r w:rsidR="00D3510C" w:rsidRPr="00D3510C">
        <w:rPr>
          <w:rFonts w:eastAsia="Times New Roman" w:cs="Times New Roman"/>
          <w:szCs w:val="24"/>
        </w:rPr>
        <w:t>n interpreting a statute a court should always turn first to one, cardinal canon before all others. We have stated time and again that courts must presume that a legislature says in a statute what it means and means in a statute what it says there.</w:t>
      </w:r>
      <w:r w:rsidR="00C05041">
        <w:rPr>
          <w:rFonts w:eastAsia="Times New Roman" w:cs="Times New Roman"/>
          <w:szCs w:val="24"/>
        </w:rPr>
        <w:t>”</w:t>
      </w:r>
      <w:r w:rsidR="00D3510C">
        <w:rPr>
          <w:rFonts w:eastAsia="Times New Roman" w:cs="Times New Roman"/>
          <w:szCs w:val="24"/>
        </w:rPr>
        <w:t xml:space="preserve"> </w:t>
      </w:r>
      <w:r w:rsidR="00D3510C" w:rsidRPr="00D3510C">
        <w:rPr>
          <w:rFonts w:eastAsia="Times New Roman" w:cs="Times New Roman"/>
          <w:szCs w:val="24"/>
          <w:u w:val="single"/>
        </w:rPr>
        <w:t xml:space="preserve">Connecticut Nat. Bank v. </w:t>
      </w:r>
      <w:proofErr w:type="spellStart"/>
      <w:r w:rsidR="00D3510C" w:rsidRPr="00D3510C">
        <w:rPr>
          <w:rFonts w:eastAsia="Times New Roman" w:cs="Times New Roman"/>
          <w:szCs w:val="24"/>
          <w:u w:val="single"/>
        </w:rPr>
        <w:t>Germain</w:t>
      </w:r>
      <w:proofErr w:type="spellEnd"/>
      <w:r w:rsidR="00C05041">
        <w:rPr>
          <w:rFonts w:eastAsia="Times New Roman" w:cs="Times New Roman"/>
          <w:szCs w:val="24"/>
        </w:rPr>
        <w:t>, 503 U.S. 249</w:t>
      </w:r>
      <w:r w:rsidR="00D3510C" w:rsidRPr="00D3510C">
        <w:rPr>
          <w:rFonts w:eastAsia="Times New Roman" w:cs="Times New Roman"/>
          <w:szCs w:val="24"/>
        </w:rPr>
        <w:t>, 112 S</w:t>
      </w:r>
      <w:r w:rsidR="00D3510C">
        <w:rPr>
          <w:rFonts w:eastAsia="Times New Roman" w:cs="Times New Roman"/>
          <w:szCs w:val="24"/>
        </w:rPr>
        <w:t>. Ct. 1146, 1149</w:t>
      </w:r>
      <w:r w:rsidR="00D3510C" w:rsidRPr="00D3510C">
        <w:rPr>
          <w:rFonts w:eastAsia="Times New Roman" w:cs="Times New Roman"/>
          <w:szCs w:val="24"/>
        </w:rPr>
        <w:t xml:space="preserve"> (1992)</w:t>
      </w:r>
      <w:r w:rsidR="00C05041">
        <w:rPr>
          <w:rFonts w:eastAsia="Times New Roman" w:cs="Times New Roman"/>
          <w:szCs w:val="24"/>
        </w:rPr>
        <w:t>. The contested language from 17 U.S.C. § 101 (2) states that a work made for hire is:</w:t>
      </w:r>
    </w:p>
    <w:p w14:paraId="1E3C5E42" w14:textId="77777777" w:rsidR="00C05041" w:rsidRPr="00C05041" w:rsidRDefault="00C05041" w:rsidP="009F0F60">
      <w:pPr>
        <w:spacing w:after="240" w:line="240" w:lineRule="auto"/>
        <w:jc w:val="both"/>
        <w:rPr>
          <w:rFonts w:eastAsia="Times New Roman" w:cs="Times New Roman"/>
          <w:szCs w:val="24"/>
        </w:rPr>
      </w:pPr>
      <w:r w:rsidRPr="00C05041">
        <w:rPr>
          <w:rFonts w:cs="Arial"/>
          <w:color w:val="252525"/>
          <w:szCs w:val="23"/>
        </w:rPr>
        <w:t>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w:t>
      </w:r>
    </w:p>
    <w:p w14:paraId="0CF8C134" w14:textId="77777777" w:rsidR="00B136B2" w:rsidRPr="00B136B2" w:rsidRDefault="007504FE" w:rsidP="009F0F60">
      <w:pPr>
        <w:spacing w:after="240"/>
        <w:jc w:val="both"/>
        <w:rPr>
          <w:rFonts w:eastAsia="Times New Roman" w:cs="Times New Roman"/>
          <w:szCs w:val="24"/>
        </w:rPr>
      </w:pPr>
      <w:r>
        <w:rPr>
          <w:rFonts w:eastAsia="Times New Roman" w:cs="Times New Roman"/>
          <w:szCs w:val="24"/>
        </w:rPr>
        <w:lastRenderedPageBreak/>
        <w:t>In the relevant part</w:t>
      </w:r>
      <w:r w:rsidR="00C05041">
        <w:rPr>
          <w:rFonts w:eastAsia="Times New Roman" w:cs="Times New Roman"/>
          <w:szCs w:val="24"/>
        </w:rPr>
        <w:t>,</w:t>
      </w:r>
      <w:r>
        <w:rPr>
          <w:rFonts w:eastAsia="Times New Roman" w:cs="Times New Roman"/>
          <w:szCs w:val="24"/>
        </w:rPr>
        <w:t xml:space="preserve"> the statute declares that </w:t>
      </w:r>
      <w:r w:rsidR="004175B9">
        <w:rPr>
          <w:rFonts w:eastAsia="Times New Roman" w:cs="Times New Roman"/>
          <w:szCs w:val="24"/>
        </w:rPr>
        <w:t>whether a work is</w:t>
      </w:r>
      <w:r>
        <w:rPr>
          <w:rFonts w:eastAsia="Times New Roman" w:cs="Times New Roman"/>
          <w:szCs w:val="24"/>
        </w:rPr>
        <w:t xml:space="preserve"> a work made for hire</w:t>
      </w:r>
      <w:r w:rsidR="004175B9">
        <w:rPr>
          <w:rFonts w:eastAsia="Times New Roman" w:cs="Times New Roman"/>
          <w:szCs w:val="24"/>
        </w:rPr>
        <w:t xml:space="preserve"> is contingent upon whether</w:t>
      </w:r>
      <w:r>
        <w:rPr>
          <w:rFonts w:eastAsia="Times New Roman" w:cs="Times New Roman"/>
          <w:szCs w:val="24"/>
        </w:rPr>
        <w:t xml:space="preserve"> “the parties expressly agree in a written instrument signed by them that the work shall be considered a work made for hire.”</w:t>
      </w:r>
      <w:r w:rsidR="00C05041">
        <w:rPr>
          <w:rFonts w:eastAsia="Times New Roman" w:cs="Times New Roman"/>
          <w:szCs w:val="24"/>
        </w:rPr>
        <w:t xml:space="preserve"> The most significant word</w:t>
      </w:r>
      <w:r w:rsidR="004175B9">
        <w:rPr>
          <w:rFonts w:eastAsia="Times New Roman" w:cs="Times New Roman"/>
          <w:szCs w:val="24"/>
        </w:rPr>
        <w:t xml:space="preserve"> in this excerpt is the word “shall.” </w:t>
      </w:r>
      <w:r w:rsidR="00B136B2">
        <w:rPr>
          <w:rFonts w:eastAsia="Times New Roman" w:cs="Times New Roman"/>
          <w:szCs w:val="24"/>
        </w:rPr>
        <w:t xml:space="preserve">The use of a specific verb tense is a clear indicator of a statute’s meaning. </w:t>
      </w:r>
      <w:proofErr w:type="gramStart"/>
      <w:r w:rsidR="00B136B2" w:rsidRPr="00B136B2">
        <w:rPr>
          <w:rFonts w:eastAsia="Times New Roman" w:cs="Times New Roman"/>
          <w:szCs w:val="24"/>
          <w:u w:val="single"/>
        </w:rPr>
        <w:t>Carr v. United States</w:t>
      </w:r>
      <w:r w:rsidR="00B136B2">
        <w:rPr>
          <w:rFonts w:eastAsia="Times New Roman" w:cs="Times New Roman"/>
          <w:szCs w:val="24"/>
        </w:rPr>
        <w:t xml:space="preserve">, 130 S. Ct. 2229, 2237 </w:t>
      </w:r>
      <w:r w:rsidR="00B136B2" w:rsidRPr="00B136B2">
        <w:rPr>
          <w:rFonts w:eastAsia="Times New Roman" w:cs="Times New Roman"/>
          <w:szCs w:val="24"/>
        </w:rPr>
        <w:t>(2010)</w:t>
      </w:r>
      <w:r w:rsidR="00B136B2">
        <w:rPr>
          <w:rFonts w:eastAsia="Times New Roman" w:cs="Times New Roman"/>
          <w:szCs w:val="24"/>
        </w:rPr>
        <w:t>.</w:t>
      </w:r>
      <w:proofErr w:type="gramEnd"/>
      <w:r w:rsidR="00B136B2">
        <w:rPr>
          <w:rFonts w:eastAsia="Times New Roman" w:cs="Times New Roman"/>
          <w:szCs w:val="24"/>
        </w:rPr>
        <w:t xml:space="preserve"> </w:t>
      </w:r>
      <w:r w:rsidR="004175B9">
        <w:rPr>
          <w:rFonts w:eastAsia="Times New Roman" w:cs="Times New Roman"/>
          <w:szCs w:val="24"/>
        </w:rPr>
        <w:t xml:space="preserve">“Shall” implies the future, with Merriam-Webster’s dictionary saying that it can be “used to express what is inevitable or seems likely to happen in the future…used to express simple futurity.” </w:t>
      </w:r>
      <w:proofErr w:type="gramStart"/>
      <w:r w:rsidR="00C05041">
        <w:rPr>
          <w:rFonts w:eastAsia="Times New Roman" w:cs="Times New Roman"/>
          <w:szCs w:val="24"/>
        </w:rPr>
        <w:t>Merriam-Webster, h</w:t>
      </w:r>
      <w:r w:rsidR="004175B9" w:rsidRPr="004175B9">
        <w:rPr>
          <w:rFonts w:eastAsia="Times New Roman" w:cs="Times New Roman"/>
          <w:szCs w:val="24"/>
        </w:rPr>
        <w:t>ttp://www.merriam-webster.com/dictionary/shall</w:t>
      </w:r>
      <w:r w:rsidR="00C05041">
        <w:rPr>
          <w:rFonts w:eastAsia="Times New Roman" w:cs="Times New Roman"/>
          <w:szCs w:val="24"/>
        </w:rPr>
        <w:t xml:space="preserve"> (last visited March 21, 2012)</w:t>
      </w:r>
      <w:r w:rsidR="004175B9">
        <w:rPr>
          <w:rFonts w:eastAsia="Times New Roman" w:cs="Times New Roman"/>
          <w:szCs w:val="24"/>
        </w:rPr>
        <w:t>.</w:t>
      </w:r>
      <w:proofErr w:type="gramEnd"/>
      <w:r w:rsidR="004175B9">
        <w:rPr>
          <w:rFonts w:eastAsia="Times New Roman" w:cs="Times New Roman"/>
          <w:szCs w:val="24"/>
        </w:rPr>
        <w:t xml:space="preserve"> </w:t>
      </w:r>
      <w:r w:rsidR="00C05041">
        <w:rPr>
          <w:rFonts w:eastAsia="Times New Roman" w:cs="Times New Roman"/>
          <w:szCs w:val="24"/>
        </w:rPr>
        <w:t>Inferring “shall”</w:t>
      </w:r>
      <w:r w:rsidR="0026677D">
        <w:rPr>
          <w:rFonts w:eastAsia="Times New Roman" w:cs="Times New Roman"/>
          <w:szCs w:val="24"/>
        </w:rPr>
        <w:t xml:space="preserve"> as an expression of futurity in</w:t>
      </w:r>
      <w:r w:rsidR="00B136B2">
        <w:rPr>
          <w:rFonts w:eastAsia="Times New Roman" w:cs="Times New Roman"/>
          <w:szCs w:val="24"/>
        </w:rPr>
        <w:t xml:space="preserve"> the context of this statute</w:t>
      </w:r>
      <w:r w:rsidR="0026677D">
        <w:rPr>
          <w:rFonts w:eastAsia="Times New Roman" w:cs="Times New Roman"/>
          <w:szCs w:val="24"/>
        </w:rPr>
        <w:t xml:space="preserve"> clearly shows that the written instrument must be signed before the work is created. The legislators could have chosen to use the word “is” instead of “shall.” </w:t>
      </w:r>
    </w:p>
    <w:p w14:paraId="3E189659" w14:textId="77777777" w:rsidR="00F85299" w:rsidRDefault="0026677D" w:rsidP="009F0F60">
      <w:pPr>
        <w:spacing w:after="240"/>
        <w:jc w:val="both"/>
        <w:rPr>
          <w:rFonts w:eastAsia="Times New Roman" w:cs="Times New Roman"/>
          <w:szCs w:val="24"/>
        </w:rPr>
      </w:pPr>
      <w:r>
        <w:rPr>
          <w:rFonts w:eastAsia="Times New Roman" w:cs="Times New Roman"/>
          <w:szCs w:val="24"/>
        </w:rPr>
        <w:t xml:space="preserve">Had they done so, the written instrument could have been signed after the work is created, because the “is” language would imply that the work is already in existence. The legislators made the decision to use </w:t>
      </w:r>
      <w:proofErr w:type="gramStart"/>
      <w:r>
        <w:rPr>
          <w:rFonts w:eastAsia="Times New Roman" w:cs="Times New Roman"/>
          <w:szCs w:val="24"/>
        </w:rPr>
        <w:t>language which</w:t>
      </w:r>
      <w:proofErr w:type="gramEnd"/>
      <w:r>
        <w:rPr>
          <w:rFonts w:eastAsia="Times New Roman" w:cs="Times New Roman"/>
          <w:szCs w:val="24"/>
        </w:rPr>
        <w:t xml:space="preserve"> stresses that at the time when the written instrument must be signed, the work is not yet in existence. </w:t>
      </w:r>
      <w:r w:rsidR="00936AD2">
        <w:rPr>
          <w:rFonts w:eastAsia="Times New Roman" w:cs="Times New Roman"/>
          <w:szCs w:val="24"/>
        </w:rPr>
        <w:t xml:space="preserve">The plain meaning of the word “shall” is that the work has not yet been created when the written instrument must be signed. </w:t>
      </w:r>
      <w:r w:rsidR="00D41EAC">
        <w:rPr>
          <w:rFonts w:eastAsia="Times New Roman" w:cs="Times New Roman"/>
          <w:szCs w:val="24"/>
        </w:rPr>
        <w:t>Therefore, Plaintiffs have failed to state a claim upon which relief can be granted and the Court should grant this Motion for Dismissal.</w:t>
      </w:r>
    </w:p>
    <w:p w14:paraId="504C9F7C" w14:textId="77777777" w:rsidR="00936AD2" w:rsidRDefault="00936AD2" w:rsidP="00A16A6B">
      <w:pPr>
        <w:spacing w:after="240" w:line="240" w:lineRule="auto"/>
        <w:ind w:left="720" w:hanging="720"/>
        <w:rPr>
          <w:rFonts w:eastAsia="Times New Roman" w:cs="Times New Roman"/>
          <w:b/>
          <w:szCs w:val="24"/>
        </w:rPr>
      </w:pPr>
      <w:r>
        <w:rPr>
          <w:rFonts w:eastAsia="Times New Roman" w:cs="Times New Roman"/>
          <w:b/>
          <w:szCs w:val="24"/>
        </w:rPr>
        <w:t xml:space="preserve">II. </w:t>
      </w:r>
      <w:r>
        <w:rPr>
          <w:rFonts w:eastAsia="Times New Roman" w:cs="Times New Roman"/>
          <w:b/>
          <w:szCs w:val="24"/>
        </w:rPr>
        <w:tab/>
        <w:t xml:space="preserve">THE CANONS OF </w:t>
      </w:r>
      <w:r w:rsidR="00F86070">
        <w:rPr>
          <w:rFonts w:eastAsia="Times New Roman" w:cs="Times New Roman"/>
          <w:b/>
          <w:szCs w:val="24"/>
        </w:rPr>
        <w:t xml:space="preserve">STATUTORY </w:t>
      </w:r>
      <w:r>
        <w:rPr>
          <w:rFonts w:eastAsia="Times New Roman" w:cs="Times New Roman"/>
          <w:b/>
          <w:szCs w:val="24"/>
        </w:rPr>
        <w:t xml:space="preserve">INTERPRETATION DEMAND A READING </w:t>
      </w:r>
      <w:r w:rsidR="00F86070">
        <w:rPr>
          <w:rFonts w:eastAsia="Times New Roman" w:cs="Times New Roman"/>
          <w:b/>
          <w:szCs w:val="24"/>
        </w:rPr>
        <w:t>OF THE STATUTE THAT NECESSITATES</w:t>
      </w:r>
      <w:r>
        <w:rPr>
          <w:rFonts w:eastAsia="Times New Roman" w:cs="Times New Roman"/>
          <w:b/>
          <w:szCs w:val="24"/>
        </w:rPr>
        <w:t xml:space="preserve"> THE WRITING BE SIGNED BEFORE CREATION OF THE WORK.</w:t>
      </w:r>
    </w:p>
    <w:p w14:paraId="268F3902" w14:textId="77777777" w:rsidR="009F0F60" w:rsidRPr="009F0F60" w:rsidRDefault="009F0F60" w:rsidP="009F0F60">
      <w:pPr>
        <w:pStyle w:val="ListParagraph"/>
        <w:numPr>
          <w:ilvl w:val="0"/>
          <w:numId w:val="3"/>
        </w:numPr>
        <w:spacing w:after="240" w:line="240" w:lineRule="auto"/>
        <w:rPr>
          <w:rFonts w:eastAsia="Times New Roman" w:cs="Times New Roman"/>
          <w:b/>
          <w:i/>
          <w:szCs w:val="24"/>
        </w:rPr>
      </w:pPr>
      <w:r>
        <w:rPr>
          <w:rFonts w:eastAsia="Times New Roman" w:cs="Times New Roman"/>
          <w:b/>
          <w:i/>
          <w:szCs w:val="24"/>
        </w:rPr>
        <w:t xml:space="preserve">The No Surplusage Canon </w:t>
      </w:r>
      <w:proofErr w:type="gramStart"/>
      <w:r>
        <w:rPr>
          <w:rFonts w:eastAsia="Times New Roman" w:cs="Times New Roman"/>
          <w:b/>
          <w:i/>
          <w:szCs w:val="24"/>
        </w:rPr>
        <w:t>Shows</w:t>
      </w:r>
      <w:proofErr w:type="gramEnd"/>
      <w:r>
        <w:rPr>
          <w:rFonts w:eastAsia="Times New Roman" w:cs="Times New Roman"/>
          <w:b/>
          <w:i/>
          <w:szCs w:val="24"/>
        </w:rPr>
        <w:t xml:space="preserve"> that the Agreement Must Be Signed Before the Work is Created.</w:t>
      </w:r>
    </w:p>
    <w:p w14:paraId="5F8AB6D9" w14:textId="77777777" w:rsidR="00C07CBC" w:rsidRDefault="002E5270" w:rsidP="009F0F60">
      <w:pPr>
        <w:spacing w:after="240"/>
        <w:ind w:firstLine="720"/>
        <w:jc w:val="both"/>
        <w:rPr>
          <w:rFonts w:eastAsia="Times New Roman" w:cs="Times New Roman"/>
          <w:szCs w:val="24"/>
        </w:rPr>
      </w:pPr>
      <w:r>
        <w:rPr>
          <w:rFonts w:eastAsia="Times New Roman" w:cs="Times New Roman"/>
          <w:szCs w:val="24"/>
        </w:rPr>
        <w:lastRenderedPageBreak/>
        <w:t>Canons of statutory interpretation “</w:t>
      </w:r>
      <w:r w:rsidRPr="002E5270">
        <w:rPr>
          <w:rFonts w:eastAsia="Times New Roman" w:cs="Times New Roman"/>
          <w:szCs w:val="24"/>
        </w:rPr>
        <w:t>help courts determine the meaning of legislation</w:t>
      </w:r>
      <w:r>
        <w:rPr>
          <w:rFonts w:eastAsia="Times New Roman" w:cs="Times New Roman"/>
          <w:szCs w:val="24"/>
        </w:rPr>
        <w:t xml:space="preserve">.” </w:t>
      </w:r>
      <w:proofErr w:type="gramStart"/>
      <w:r w:rsidR="009D4440">
        <w:rPr>
          <w:rFonts w:eastAsia="Times New Roman" w:cs="Times New Roman"/>
          <w:szCs w:val="24"/>
          <w:u w:val="single"/>
        </w:rPr>
        <w:t xml:space="preserve">Connecticut Nat. </w:t>
      </w:r>
      <w:r w:rsidR="009D4440" w:rsidRPr="009D4440">
        <w:rPr>
          <w:rFonts w:eastAsia="Times New Roman" w:cs="Times New Roman"/>
          <w:szCs w:val="24"/>
        </w:rPr>
        <w:t>Bank</w:t>
      </w:r>
      <w:r w:rsidR="009D4440">
        <w:rPr>
          <w:rFonts w:eastAsia="Times New Roman" w:cs="Times New Roman"/>
          <w:szCs w:val="24"/>
        </w:rPr>
        <w:t xml:space="preserve">, </w:t>
      </w:r>
      <w:r w:rsidRPr="002E5270">
        <w:rPr>
          <w:rFonts w:eastAsia="Times New Roman" w:cs="Times New Roman"/>
          <w:szCs w:val="24"/>
        </w:rPr>
        <w:t>112 S. Ct</w:t>
      </w:r>
      <w:r w:rsidR="009D4440">
        <w:rPr>
          <w:rFonts w:eastAsia="Times New Roman" w:cs="Times New Roman"/>
          <w:szCs w:val="24"/>
        </w:rPr>
        <w:t>. at</w:t>
      </w:r>
      <w:r>
        <w:rPr>
          <w:rFonts w:eastAsia="Times New Roman" w:cs="Times New Roman"/>
          <w:szCs w:val="24"/>
        </w:rPr>
        <w:t xml:space="preserve"> 1149 </w:t>
      </w:r>
      <w:r w:rsidRPr="002E5270">
        <w:rPr>
          <w:rFonts w:eastAsia="Times New Roman" w:cs="Times New Roman"/>
          <w:szCs w:val="24"/>
        </w:rPr>
        <w:t>(1992)</w:t>
      </w:r>
      <w:r w:rsidR="009D4440">
        <w:rPr>
          <w:rFonts w:eastAsia="Times New Roman" w:cs="Times New Roman"/>
          <w:szCs w:val="24"/>
        </w:rPr>
        <w:t>.</w:t>
      </w:r>
      <w:proofErr w:type="gramEnd"/>
      <w:r w:rsidR="009D4440">
        <w:rPr>
          <w:rFonts w:eastAsia="Times New Roman" w:cs="Times New Roman"/>
          <w:szCs w:val="24"/>
        </w:rPr>
        <w:t xml:space="preserve"> </w:t>
      </w:r>
      <w:r w:rsidR="00E95E15">
        <w:rPr>
          <w:rFonts w:eastAsia="Times New Roman" w:cs="Times New Roman"/>
          <w:szCs w:val="24"/>
        </w:rPr>
        <w:t>Among the cardinal principle</w:t>
      </w:r>
      <w:r w:rsidR="00A16A6B">
        <w:rPr>
          <w:rFonts w:eastAsia="Times New Roman" w:cs="Times New Roman"/>
          <w:szCs w:val="24"/>
        </w:rPr>
        <w:t>s</w:t>
      </w:r>
      <w:r w:rsidR="00E95E15">
        <w:rPr>
          <w:rFonts w:eastAsia="Times New Roman" w:cs="Times New Roman"/>
          <w:szCs w:val="24"/>
        </w:rPr>
        <w:t xml:space="preserve"> of statutory interpretation is the principle that a statute should be interpreted so that every word in the statute is meaningful. </w:t>
      </w:r>
      <w:r w:rsidR="00E95E15">
        <w:rPr>
          <w:rFonts w:eastAsia="Times New Roman" w:cs="Times New Roman"/>
          <w:szCs w:val="24"/>
          <w:u w:val="single"/>
        </w:rPr>
        <w:t>TRW Inc. v. Andrews</w:t>
      </w:r>
      <w:r w:rsidR="00E95E15">
        <w:rPr>
          <w:rFonts w:eastAsia="Times New Roman" w:cs="Times New Roman"/>
          <w:szCs w:val="24"/>
        </w:rPr>
        <w:t>, 534 U.S. 19, 31</w:t>
      </w:r>
      <w:r w:rsidR="00A5162A">
        <w:rPr>
          <w:rFonts w:eastAsia="Times New Roman" w:cs="Times New Roman"/>
          <w:szCs w:val="24"/>
        </w:rPr>
        <w:t xml:space="preserve"> </w:t>
      </w:r>
      <w:r w:rsidR="00E95E15">
        <w:rPr>
          <w:rFonts w:eastAsia="Times New Roman" w:cs="Times New Roman"/>
          <w:szCs w:val="24"/>
        </w:rPr>
        <w:t xml:space="preserve">(2001). Legislators have no reason to include more words than necessary, because the extra words would be surplus. </w:t>
      </w:r>
      <w:r w:rsidR="00C741DE">
        <w:rPr>
          <w:rFonts w:eastAsia="Times New Roman" w:cs="Times New Roman"/>
          <w:szCs w:val="24"/>
        </w:rPr>
        <w:t>As a sophisticated body, Congress is capable of, and prefers, writing concisely without surplusage. Likewise, the legislators have</w:t>
      </w:r>
      <w:r w:rsidR="00E95E15">
        <w:rPr>
          <w:rFonts w:eastAsia="Times New Roman" w:cs="Times New Roman"/>
          <w:szCs w:val="24"/>
        </w:rPr>
        <w:t xml:space="preserve"> no reason to inc</w:t>
      </w:r>
      <w:r w:rsidR="00C741DE">
        <w:rPr>
          <w:rFonts w:eastAsia="Times New Roman" w:cs="Times New Roman"/>
          <w:szCs w:val="24"/>
        </w:rPr>
        <w:t>lude redundant words or phrases</w:t>
      </w:r>
      <w:r w:rsidR="00E95E15">
        <w:rPr>
          <w:rFonts w:eastAsia="Times New Roman" w:cs="Times New Roman"/>
          <w:szCs w:val="24"/>
        </w:rPr>
        <w:t xml:space="preserve"> because those, too, would </w:t>
      </w:r>
      <w:r w:rsidR="00C741DE">
        <w:rPr>
          <w:rFonts w:eastAsia="Times New Roman" w:cs="Times New Roman"/>
          <w:szCs w:val="24"/>
        </w:rPr>
        <w:t xml:space="preserve">only </w:t>
      </w:r>
      <w:r w:rsidR="009D3F20">
        <w:rPr>
          <w:rFonts w:eastAsia="Times New Roman" w:cs="Times New Roman"/>
          <w:szCs w:val="24"/>
        </w:rPr>
        <w:t xml:space="preserve">be surplus. </w:t>
      </w:r>
      <w:r w:rsidR="009D3F20" w:rsidRPr="009D3F20">
        <w:rPr>
          <w:rFonts w:eastAsia="Times New Roman" w:cs="Times New Roman"/>
          <w:szCs w:val="24"/>
          <w:u w:val="single"/>
        </w:rPr>
        <w:t xml:space="preserve">Inhabitants of Montclair Twp. v. </w:t>
      </w:r>
      <w:proofErr w:type="spellStart"/>
      <w:r w:rsidR="009D3F20" w:rsidRPr="009D3F20">
        <w:rPr>
          <w:rFonts w:eastAsia="Times New Roman" w:cs="Times New Roman"/>
          <w:szCs w:val="24"/>
          <w:u w:val="single"/>
        </w:rPr>
        <w:t>Ramsdell</w:t>
      </w:r>
      <w:proofErr w:type="spellEnd"/>
      <w:r w:rsidR="009D3F20" w:rsidRPr="009D3F20">
        <w:rPr>
          <w:rFonts w:eastAsia="Times New Roman" w:cs="Times New Roman"/>
          <w:szCs w:val="24"/>
        </w:rPr>
        <w:t>, 107 U.</w:t>
      </w:r>
      <w:r w:rsidR="00D44380">
        <w:rPr>
          <w:rFonts w:eastAsia="Times New Roman" w:cs="Times New Roman"/>
          <w:szCs w:val="24"/>
        </w:rPr>
        <w:t xml:space="preserve">S. 147, 152 </w:t>
      </w:r>
      <w:r w:rsidR="009D3F20" w:rsidRPr="009D3F20">
        <w:rPr>
          <w:rFonts w:eastAsia="Times New Roman" w:cs="Times New Roman"/>
          <w:szCs w:val="24"/>
        </w:rPr>
        <w:t>(1883)</w:t>
      </w:r>
      <w:r w:rsidR="009D3F20">
        <w:rPr>
          <w:rFonts w:eastAsia="Times New Roman" w:cs="Times New Roman"/>
          <w:szCs w:val="24"/>
        </w:rPr>
        <w:t xml:space="preserve"> (holding that the Court should assume that the legislature was aware of other relevant provisions when it wrote the statute in question). </w:t>
      </w:r>
      <w:r w:rsidR="00480107">
        <w:rPr>
          <w:rFonts w:eastAsia="Times New Roman" w:cs="Times New Roman"/>
          <w:szCs w:val="24"/>
        </w:rPr>
        <w:t xml:space="preserve">Here, if 17 U.S.C. § 101(2) is interpreted to mean that the written instrument does not need to be signed prior to the creation of the work, there will be a surplusage. </w:t>
      </w:r>
      <w:r w:rsidR="00C07CBC">
        <w:rPr>
          <w:rFonts w:eastAsia="Times New Roman" w:cs="Times New Roman"/>
          <w:szCs w:val="24"/>
        </w:rPr>
        <w:t xml:space="preserve">When the agreement is signed after the work is creation, it is essentially a transfer or ownership from the author to the employer. </w:t>
      </w:r>
      <w:r w:rsidR="000A060C">
        <w:rPr>
          <w:rFonts w:eastAsia="Times New Roman" w:cs="Times New Roman"/>
          <w:szCs w:val="24"/>
        </w:rPr>
        <w:t>W</w:t>
      </w:r>
      <w:r w:rsidR="00480107">
        <w:rPr>
          <w:rFonts w:eastAsia="Times New Roman" w:cs="Times New Roman"/>
          <w:szCs w:val="24"/>
        </w:rPr>
        <w:t>ithin the Copyright Act there is a separate section that is commit</w:t>
      </w:r>
      <w:r w:rsidR="000A060C">
        <w:rPr>
          <w:rFonts w:eastAsia="Times New Roman" w:cs="Times New Roman"/>
          <w:szCs w:val="24"/>
        </w:rPr>
        <w:t>ted to transfers of ownership- t</w:t>
      </w:r>
      <w:r w:rsidR="00480107">
        <w:rPr>
          <w:rFonts w:eastAsia="Times New Roman" w:cs="Times New Roman"/>
          <w:szCs w:val="24"/>
        </w:rPr>
        <w:t>he</w:t>
      </w:r>
      <w:r w:rsidR="000A060C">
        <w:rPr>
          <w:rFonts w:eastAsia="Times New Roman" w:cs="Times New Roman"/>
          <w:szCs w:val="24"/>
        </w:rPr>
        <w:t xml:space="preserve"> entire purpose of 17 U.S.C. § 204</w:t>
      </w:r>
      <w:r w:rsidR="00480107">
        <w:rPr>
          <w:rFonts w:eastAsia="Times New Roman" w:cs="Times New Roman"/>
          <w:szCs w:val="24"/>
        </w:rPr>
        <w:t xml:space="preserve"> is to provide for the transfer of ownership. Therefore, an interpretation of the Copyright Act that allows the </w:t>
      </w:r>
      <w:r w:rsidR="000A060C">
        <w:rPr>
          <w:rFonts w:eastAsia="Times New Roman" w:cs="Times New Roman"/>
          <w:szCs w:val="24"/>
        </w:rPr>
        <w:t>work-for-hire agreement</w:t>
      </w:r>
      <w:r w:rsidR="00480107">
        <w:rPr>
          <w:rFonts w:eastAsia="Times New Roman" w:cs="Times New Roman"/>
          <w:szCs w:val="24"/>
        </w:rPr>
        <w:t xml:space="preserve"> to be signed after the fact is an interpretation that </w:t>
      </w:r>
      <w:r w:rsidR="002F52E7">
        <w:rPr>
          <w:rFonts w:eastAsia="Times New Roman" w:cs="Times New Roman"/>
          <w:szCs w:val="24"/>
        </w:rPr>
        <w:t>Congress intended 17 U.S.C. § 204 to have no purpose.</w:t>
      </w:r>
      <w:r w:rsidR="00480107">
        <w:rPr>
          <w:rFonts w:eastAsia="Times New Roman" w:cs="Times New Roman"/>
          <w:szCs w:val="24"/>
        </w:rPr>
        <w:t xml:space="preserve"> In order to avoid an interpretation in which not every word in the statute is meaningful, the Court should construe the statute to mean that the writing must be signed before the work is created. </w:t>
      </w:r>
      <w:r w:rsidR="00C07CBC">
        <w:rPr>
          <w:rFonts w:eastAsia="Times New Roman" w:cs="Times New Roman"/>
          <w:szCs w:val="24"/>
        </w:rPr>
        <w:t>In doing so, the Court should grant the Motion for Dismissal.</w:t>
      </w:r>
    </w:p>
    <w:p w14:paraId="67959AB7" w14:textId="77777777" w:rsidR="009F0F60" w:rsidRPr="009F0F60" w:rsidRDefault="009F0F60" w:rsidP="009F0F60">
      <w:pPr>
        <w:pStyle w:val="ListParagraph"/>
        <w:numPr>
          <w:ilvl w:val="0"/>
          <w:numId w:val="3"/>
        </w:numPr>
        <w:spacing w:after="240" w:line="240" w:lineRule="auto"/>
        <w:rPr>
          <w:rFonts w:eastAsia="Times New Roman" w:cs="Times New Roman"/>
          <w:b/>
          <w:i/>
          <w:szCs w:val="24"/>
        </w:rPr>
      </w:pPr>
      <w:r>
        <w:rPr>
          <w:rFonts w:eastAsia="Times New Roman" w:cs="Times New Roman"/>
          <w:b/>
          <w:i/>
          <w:szCs w:val="24"/>
        </w:rPr>
        <w:t>The Canon of Construing Exceptions Narrowly Demonstrates that the Written Instrument Must be Signed Prior to Creation.</w:t>
      </w:r>
    </w:p>
    <w:p w14:paraId="715D504B" w14:textId="77777777" w:rsidR="006012AE" w:rsidRDefault="00A5162A" w:rsidP="009F0F60">
      <w:pPr>
        <w:spacing w:after="240"/>
        <w:ind w:firstLine="720"/>
        <w:jc w:val="both"/>
        <w:rPr>
          <w:rFonts w:eastAsia="Times New Roman" w:cs="Times New Roman"/>
          <w:szCs w:val="24"/>
        </w:rPr>
      </w:pPr>
      <w:r>
        <w:rPr>
          <w:rFonts w:eastAsia="Times New Roman" w:cs="Times New Roman"/>
          <w:szCs w:val="24"/>
        </w:rPr>
        <w:t xml:space="preserve">The general rule in interpreting statutes in order to determine legislative intent is that exceptions are to be construed narrowly. </w:t>
      </w:r>
      <w:r w:rsidRPr="00A5162A">
        <w:rPr>
          <w:rFonts w:eastAsia="Times New Roman" w:cs="Times New Roman"/>
          <w:szCs w:val="24"/>
          <w:u w:val="single"/>
        </w:rPr>
        <w:t>Spokane &amp; I.E.R. Co. v. United States</w:t>
      </w:r>
      <w:r>
        <w:rPr>
          <w:rFonts w:eastAsia="Times New Roman" w:cs="Times New Roman"/>
          <w:szCs w:val="24"/>
        </w:rPr>
        <w:t>, 241 U.S. 344, 350 (1916).</w:t>
      </w:r>
      <w:r w:rsidR="009F0F60">
        <w:rPr>
          <w:rFonts w:eastAsia="Times New Roman" w:cs="Times New Roman"/>
          <w:szCs w:val="24"/>
        </w:rPr>
        <w:t xml:space="preserve"> In the Copyright Act, the beginning assumption</w:t>
      </w:r>
      <w:r w:rsidR="00F85299">
        <w:rPr>
          <w:rFonts w:eastAsia="Times New Roman" w:cs="Times New Roman"/>
          <w:szCs w:val="24"/>
        </w:rPr>
        <w:t xml:space="preserve"> is that the person who originally </w:t>
      </w:r>
      <w:r w:rsidR="00F85299">
        <w:rPr>
          <w:rFonts w:eastAsia="Times New Roman" w:cs="Times New Roman"/>
          <w:szCs w:val="24"/>
        </w:rPr>
        <w:lastRenderedPageBreak/>
        <w:t xml:space="preserve">creates the work is the author. </w:t>
      </w:r>
      <w:proofErr w:type="gramStart"/>
      <w:r w:rsidR="00F85299">
        <w:rPr>
          <w:rFonts w:eastAsia="Times New Roman" w:cs="Times New Roman"/>
          <w:szCs w:val="24"/>
        </w:rPr>
        <w:t>17 U.S.C. § 102(a).</w:t>
      </w:r>
      <w:proofErr w:type="gramEnd"/>
      <w:r w:rsidR="00F85299">
        <w:rPr>
          <w:rFonts w:eastAsia="Times New Roman" w:cs="Times New Roman"/>
          <w:szCs w:val="24"/>
        </w:rPr>
        <w:t xml:space="preserve"> Thus, 17 U.S.C. § 101(2), which declares that someone other than the person wh</w:t>
      </w:r>
      <w:r w:rsidR="009F0F60">
        <w:rPr>
          <w:rFonts w:eastAsia="Times New Roman" w:cs="Times New Roman"/>
          <w:szCs w:val="24"/>
        </w:rPr>
        <w:t>o originally creates the work can be</w:t>
      </w:r>
      <w:r w:rsidR="00F85299">
        <w:rPr>
          <w:rFonts w:eastAsia="Times New Roman" w:cs="Times New Roman"/>
          <w:szCs w:val="24"/>
        </w:rPr>
        <w:t xml:space="preserve"> the author, is an exception. Because it is an exception, it must be construed narrowly.  In this case, the exception that must be construed narrowly is the language calling for a written instrument signed by the parties which allows Plaintiff, rather than Ms. Lime, to be the author. A properly narrow</w:t>
      </w:r>
      <w:r w:rsidR="000C4BC2">
        <w:rPr>
          <w:rFonts w:eastAsia="Times New Roman" w:cs="Times New Roman"/>
          <w:szCs w:val="24"/>
        </w:rPr>
        <w:t>ed</w:t>
      </w:r>
      <w:r w:rsidR="00F85299">
        <w:rPr>
          <w:rFonts w:eastAsia="Times New Roman" w:cs="Times New Roman"/>
          <w:szCs w:val="24"/>
        </w:rPr>
        <w:t xml:space="preserve"> construction of this</w:t>
      </w:r>
      <w:r w:rsidR="006012AE">
        <w:rPr>
          <w:rFonts w:eastAsia="Times New Roman" w:cs="Times New Roman"/>
          <w:szCs w:val="24"/>
        </w:rPr>
        <w:t xml:space="preserve"> exception would hold</w:t>
      </w:r>
      <w:r w:rsidR="00F85299">
        <w:rPr>
          <w:rFonts w:eastAsia="Times New Roman" w:cs="Times New Roman"/>
          <w:szCs w:val="24"/>
        </w:rPr>
        <w:t xml:space="preserve"> that the written instrument must be signed before the work is created</w:t>
      </w:r>
      <w:r w:rsidR="006012AE">
        <w:rPr>
          <w:rFonts w:eastAsia="Times New Roman" w:cs="Times New Roman"/>
          <w:szCs w:val="24"/>
        </w:rPr>
        <w:t xml:space="preserve"> in order for anyone other than the creator to be considered the author</w:t>
      </w:r>
      <w:r w:rsidR="00F85299">
        <w:rPr>
          <w:rFonts w:eastAsia="Times New Roman" w:cs="Times New Roman"/>
          <w:szCs w:val="24"/>
        </w:rPr>
        <w:t>.</w:t>
      </w:r>
      <w:r w:rsidR="000C4BC2">
        <w:rPr>
          <w:rFonts w:eastAsia="Times New Roman" w:cs="Times New Roman"/>
          <w:szCs w:val="24"/>
        </w:rPr>
        <w:t xml:space="preserve"> Under the properly narrowed construction, the agreement between Plaintiff and Ms. Lime doesn’t qualify as a work-for-hire exception to authorship and therefore Defendants’ Motion to Dismiss should be granted. </w:t>
      </w:r>
    </w:p>
    <w:p w14:paraId="23DE4A14" w14:textId="77777777" w:rsidR="009F0F60" w:rsidRPr="009F0F60" w:rsidRDefault="009F0F60" w:rsidP="009F0F60">
      <w:pPr>
        <w:pStyle w:val="ListParagraph"/>
        <w:numPr>
          <w:ilvl w:val="0"/>
          <w:numId w:val="3"/>
        </w:numPr>
        <w:spacing w:after="240" w:line="240" w:lineRule="auto"/>
        <w:rPr>
          <w:rFonts w:eastAsia="Times New Roman" w:cs="Times New Roman"/>
          <w:b/>
          <w:i/>
          <w:szCs w:val="24"/>
        </w:rPr>
      </w:pPr>
      <w:r>
        <w:rPr>
          <w:rFonts w:eastAsia="Times New Roman" w:cs="Times New Roman"/>
          <w:b/>
          <w:i/>
          <w:szCs w:val="24"/>
        </w:rPr>
        <w:t xml:space="preserve">The Canon of </w:t>
      </w:r>
      <w:proofErr w:type="spellStart"/>
      <w:r w:rsidRPr="009F0F60">
        <w:rPr>
          <w:rFonts w:eastAsia="Times New Roman" w:cs="Times New Roman"/>
          <w:b/>
          <w:szCs w:val="24"/>
        </w:rPr>
        <w:t>Expressio</w:t>
      </w:r>
      <w:proofErr w:type="spellEnd"/>
      <w:r>
        <w:rPr>
          <w:rFonts w:eastAsia="Times New Roman" w:cs="Times New Roman"/>
          <w:b/>
          <w:szCs w:val="24"/>
        </w:rPr>
        <w:t xml:space="preserve"> </w:t>
      </w:r>
      <w:proofErr w:type="spellStart"/>
      <w:r>
        <w:rPr>
          <w:rFonts w:eastAsia="Times New Roman" w:cs="Times New Roman"/>
          <w:b/>
          <w:szCs w:val="24"/>
        </w:rPr>
        <w:t>Unius</w:t>
      </w:r>
      <w:proofErr w:type="spellEnd"/>
      <w:r>
        <w:rPr>
          <w:rFonts w:eastAsia="Times New Roman" w:cs="Times New Roman"/>
          <w:b/>
          <w:szCs w:val="24"/>
        </w:rPr>
        <w:t xml:space="preserve"> </w:t>
      </w:r>
      <w:proofErr w:type="spellStart"/>
      <w:proofErr w:type="gramStart"/>
      <w:r>
        <w:rPr>
          <w:rFonts w:eastAsia="Times New Roman" w:cs="Times New Roman"/>
          <w:b/>
          <w:szCs w:val="24"/>
        </w:rPr>
        <w:t>est</w:t>
      </w:r>
      <w:proofErr w:type="spellEnd"/>
      <w:proofErr w:type="gramEnd"/>
      <w:r>
        <w:rPr>
          <w:rFonts w:eastAsia="Times New Roman" w:cs="Times New Roman"/>
          <w:b/>
          <w:szCs w:val="24"/>
        </w:rPr>
        <w:t xml:space="preserve"> Exclusion </w:t>
      </w:r>
      <w:proofErr w:type="spellStart"/>
      <w:r>
        <w:rPr>
          <w:rFonts w:eastAsia="Times New Roman" w:cs="Times New Roman"/>
          <w:b/>
          <w:szCs w:val="24"/>
        </w:rPr>
        <w:t>Alterius</w:t>
      </w:r>
      <w:proofErr w:type="spellEnd"/>
      <w:r>
        <w:rPr>
          <w:rFonts w:eastAsia="Times New Roman" w:cs="Times New Roman"/>
          <w:b/>
          <w:i/>
          <w:szCs w:val="24"/>
        </w:rPr>
        <w:t xml:space="preserve"> Confirms that the Agreement Must be Written, and it Must be Signed Before the Work is Created.</w:t>
      </w:r>
    </w:p>
    <w:p w14:paraId="21CCAC6C" w14:textId="77777777" w:rsidR="006012AE" w:rsidRDefault="000C4BC2" w:rsidP="00EA7E1C">
      <w:pPr>
        <w:spacing w:after="240"/>
        <w:ind w:firstLine="720"/>
        <w:rPr>
          <w:rFonts w:eastAsia="Times New Roman" w:cs="Times New Roman"/>
          <w:szCs w:val="24"/>
        </w:rPr>
      </w:pPr>
      <w:r>
        <w:rPr>
          <w:rFonts w:eastAsia="Times New Roman" w:cs="Times New Roman"/>
          <w:szCs w:val="24"/>
        </w:rPr>
        <w:t>W</w:t>
      </w:r>
      <w:r w:rsidR="006012AE">
        <w:rPr>
          <w:rFonts w:eastAsia="Times New Roman" w:cs="Times New Roman"/>
          <w:szCs w:val="24"/>
        </w:rPr>
        <w:t xml:space="preserve">hen it is fair to suppose that Congress considered an unnamed possibility and meant to say “no” to it, the canon of </w:t>
      </w:r>
      <w:proofErr w:type="spellStart"/>
      <w:r w:rsidR="006012AE">
        <w:rPr>
          <w:rFonts w:eastAsia="Times New Roman" w:cs="Times New Roman"/>
          <w:i/>
          <w:szCs w:val="24"/>
        </w:rPr>
        <w:t>expressio</w:t>
      </w:r>
      <w:proofErr w:type="spellEnd"/>
      <w:r w:rsidR="006012AE">
        <w:rPr>
          <w:rFonts w:eastAsia="Times New Roman" w:cs="Times New Roman"/>
          <w:i/>
          <w:szCs w:val="24"/>
        </w:rPr>
        <w:t xml:space="preserve"> </w:t>
      </w:r>
      <w:proofErr w:type="spellStart"/>
      <w:r w:rsidR="006012AE">
        <w:rPr>
          <w:rFonts w:eastAsia="Times New Roman" w:cs="Times New Roman"/>
          <w:i/>
          <w:szCs w:val="24"/>
        </w:rPr>
        <w:t>unius</w:t>
      </w:r>
      <w:proofErr w:type="spellEnd"/>
      <w:r w:rsidR="006012AE">
        <w:rPr>
          <w:rFonts w:eastAsia="Times New Roman" w:cs="Times New Roman"/>
          <w:i/>
          <w:szCs w:val="24"/>
        </w:rPr>
        <w:t xml:space="preserve"> </w:t>
      </w:r>
      <w:proofErr w:type="spellStart"/>
      <w:proofErr w:type="gramStart"/>
      <w:r w:rsidR="006012AE">
        <w:rPr>
          <w:rFonts w:eastAsia="Times New Roman" w:cs="Times New Roman"/>
          <w:i/>
          <w:szCs w:val="24"/>
        </w:rPr>
        <w:t>est</w:t>
      </w:r>
      <w:proofErr w:type="spellEnd"/>
      <w:proofErr w:type="gramEnd"/>
      <w:r w:rsidR="006012AE">
        <w:rPr>
          <w:rFonts w:eastAsia="Times New Roman" w:cs="Times New Roman"/>
          <w:i/>
          <w:szCs w:val="24"/>
        </w:rPr>
        <w:t xml:space="preserve"> </w:t>
      </w:r>
      <w:proofErr w:type="spellStart"/>
      <w:r w:rsidR="006012AE">
        <w:rPr>
          <w:rFonts w:eastAsia="Times New Roman" w:cs="Times New Roman"/>
          <w:i/>
          <w:szCs w:val="24"/>
        </w:rPr>
        <w:t>exclusio</w:t>
      </w:r>
      <w:proofErr w:type="spellEnd"/>
      <w:r w:rsidR="006012AE">
        <w:rPr>
          <w:rFonts w:eastAsia="Times New Roman" w:cs="Times New Roman"/>
          <w:i/>
          <w:szCs w:val="24"/>
        </w:rPr>
        <w:t xml:space="preserve"> </w:t>
      </w:r>
      <w:proofErr w:type="spellStart"/>
      <w:r w:rsidR="006012AE">
        <w:rPr>
          <w:rFonts w:eastAsia="Times New Roman" w:cs="Times New Roman"/>
          <w:i/>
          <w:szCs w:val="24"/>
        </w:rPr>
        <w:t>alterius</w:t>
      </w:r>
      <w:proofErr w:type="spellEnd"/>
      <w:r w:rsidR="006012AE">
        <w:rPr>
          <w:rFonts w:eastAsia="Times New Roman" w:cs="Times New Roman"/>
          <w:szCs w:val="24"/>
        </w:rPr>
        <w:t xml:space="preserve"> applies. </w:t>
      </w:r>
      <w:proofErr w:type="gramStart"/>
      <w:r w:rsidR="006012AE" w:rsidRPr="006012AE">
        <w:rPr>
          <w:rFonts w:eastAsia="Times New Roman" w:cs="Times New Roman"/>
          <w:szCs w:val="24"/>
          <w:u w:val="single"/>
        </w:rPr>
        <w:t>Barnhart v. Peabody Coal Co.</w:t>
      </w:r>
      <w:r w:rsidR="006012AE">
        <w:rPr>
          <w:rFonts w:eastAsia="Times New Roman" w:cs="Times New Roman"/>
          <w:szCs w:val="24"/>
        </w:rPr>
        <w:t xml:space="preserve">, 537 U.S. 149, 168 </w:t>
      </w:r>
      <w:r w:rsidR="006012AE" w:rsidRPr="006012AE">
        <w:rPr>
          <w:rFonts w:eastAsia="Times New Roman" w:cs="Times New Roman"/>
          <w:szCs w:val="24"/>
        </w:rPr>
        <w:t>(2003)</w:t>
      </w:r>
      <w:r w:rsidR="006012AE">
        <w:rPr>
          <w:rFonts w:eastAsia="Times New Roman" w:cs="Times New Roman"/>
          <w:szCs w:val="24"/>
        </w:rPr>
        <w:t>.</w:t>
      </w:r>
      <w:proofErr w:type="gramEnd"/>
      <w:r w:rsidR="006012AE">
        <w:rPr>
          <w:rFonts w:eastAsia="Times New Roman" w:cs="Times New Roman"/>
          <w:szCs w:val="24"/>
        </w:rPr>
        <w:t xml:space="preserve"> </w:t>
      </w:r>
      <w:r w:rsidR="00DC1D91">
        <w:rPr>
          <w:rFonts w:eastAsia="Times New Roman" w:cs="Times New Roman"/>
          <w:szCs w:val="24"/>
        </w:rPr>
        <w:t>The canon provides that the exclusion of one term or list of terms excludes oth</w:t>
      </w:r>
      <w:r w:rsidR="00EA7E1C">
        <w:rPr>
          <w:rFonts w:eastAsia="Times New Roman" w:cs="Times New Roman"/>
          <w:szCs w:val="24"/>
        </w:rPr>
        <w:t xml:space="preserve">er terms that are not included. </w:t>
      </w:r>
      <w:r w:rsidR="00EA7E1C" w:rsidRPr="00EA7E1C">
        <w:rPr>
          <w:rFonts w:eastAsia="Times New Roman" w:cs="Times New Roman"/>
          <w:szCs w:val="24"/>
          <w:u w:val="single"/>
        </w:rPr>
        <w:t>United Dominion Indus., Inc. v. United States</w:t>
      </w:r>
      <w:r w:rsidR="00EA7E1C" w:rsidRPr="00EA7E1C">
        <w:rPr>
          <w:rFonts w:eastAsia="Times New Roman" w:cs="Times New Roman"/>
          <w:szCs w:val="24"/>
        </w:rPr>
        <w:t>, 532 U.S. 822, 836</w:t>
      </w:r>
      <w:r w:rsidR="00EA7E1C">
        <w:rPr>
          <w:rFonts w:eastAsia="Times New Roman" w:cs="Times New Roman"/>
          <w:szCs w:val="24"/>
        </w:rPr>
        <w:t xml:space="preserve"> (</w:t>
      </w:r>
      <w:r w:rsidR="00EA7E1C" w:rsidRPr="00EA7E1C">
        <w:rPr>
          <w:rFonts w:eastAsia="Times New Roman" w:cs="Times New Roman"/>
          <w:szCs w:val="24"/>
        </w:rPr>
        <w:t>2001)</w:t>
      </w:r>
      <w:r w:rsidR="00EA7E1C">
        <w:rPr>
          <w:rFonts w:eastAsia="Times New Roman" w:cs="Times New Roman"/>
          <w:szCs w:val="24"/>
        </w:rPr>
        <w:t xml:space="preserve">. </w:t>
      </w:r>
      <w:r w:rsidR="00DC1D91">
        <w:rPr>
          <w:rFonts w:eastAsia="Times New Roman" w:cs="Times New Roman"/>
          <w:szCs w:val="24"/>
        </w:rPr>
        <w:t xml:space="preserve">In this case, the </w:t>
      </w:r>
      <w:r w:rsidR="00EA7E1C">
        <w:rPr>
          <w:rFonts w:eastAsia="Times New Roman" w:cs="Times New Roman"/>
          <w:szCs w:val="24"/>
        </w:rPr>
        <w:t xml:space="preserve">statutory </w:t>
      </w:r>
      <w:r w:rsidR="00DC1D91">
        <w:rPr>
          <w:rFonts w:eastAsia="Times New Roman" w:cs="Times New Roman"/>
          <w:szCs w:val="24"/>
        </w:rPr>
        <w:t xml:space="preserve">language mandates a “written instrument signed by the parties.” </w:t>
      </w:r>
      <w:proofErr w:type="gramStart"/>
      <w:r w:rsidR="00DC1D91">
        <w:rPr>
          <w:rFonts w:eastAsia="Times New Roman" w:cs="Times New Roman"/>
          <w:szCs w:val="24"/>
        </w:rPr>
        <w:t>17 U.S.C. § 101(2).</w:t>
      </w:r>
      <w:proofErr w:type="gramEnd"/>
      <w:r w:rsidR="00DC1D91">
        <w:rPr>
          <w:rFonts w:eastAsia="Times New Roman" w:cs="Times New Roman"/>
          <w:szCs w:val="24"/>
        </w:rPr>
        <w:t xml:space="preserve"> It is fair to infer that in choosing this language, Congress considered the possibility of permitting an oral agreement and decided against it.</w:t>
      </w:r>
      <w:r w:rsidR="00B00D5B">
        <w:rPr>
          <w:rFonts w:eastAsia="Times New Roman" w:cs="Times New Roman"/>
          <w:szCs w:val="24"/>
        </w:rPr>
        <w:t xml:space="preserve"> </w:t>
      </w:r>
      <w:r w:rsidR="00B00CF1">
        <w:rPr>
          <w:rFonts w:eastAsia="Times New Roman" w:cs="Times New Roman"/>
          <w:szCs w:val="24"/>
        </w:rPr>
        <w:t>Instead, Congress is clearly saying that any agreement that a work shall be a work made for hire must be in writing. Therefore, the oral agreement that Plaintiff and Ms. Lime reached on October 27, 2010 did not have the legal effect of making “Anticipatory Repudiation”</w:t>
      </w:r>
      <w:r w:rsidR="00EA7E1C">
        <w:rPr>
          <w:rFonts w:eastAsia="Times New Roman" w:cs="Times New Roman"/>
          <w:szCs w:val="24"/>
        </w:rPr>
        <w:t xml:space="preserve"> a work made for hire. This canon also applies to</w:t>
      </w:r>
      <w:r w:rsidR="00B00CF1">
        <w:rPr>
          <w:rFonts w:eastAsia="Times New Roman" w:cs="Times New Roman"/>
          <w:szCs w:val="24"/>
        </w:rPr>
        <w:t xml:space="preserve"> the analysi</w:t>
      </w:r>
      <w:r w:rsidR="00EA7E1C">
        <w:rPr>
          <w:rFonts w:eastAsia="Times New Roman" w:cs="Times New Roman"/>
          <w:szCs w:val="24"/>
        </w:rPr>
        <w:t>s of the “shall” plain language. Because the word “shall” implicates a written agreement prior to creation of the work, the possibility of the agreement being signed after the work is created is excluded. T</w:t>
      </w:r>
      <w:r w:rsidR="00B00CF1">
        <w:rPr>
          <w:rFonts w:eastAsia="Times New Roman" w:cs="Times New Roman"/>
          <w:szCs w:val="24"/>
        </w:rPr>
        <w:t xml:space="preserve">he straightforward conclusion is </w:t>
      </w:r>
      <w:r w:rsidR="00B00CF1">
        <w:rPr>
          <w:rFonts w:eastAsia="Times New Roman" w:cs="Times New Roman"/>
          <w:szCs w:val="24"/>
        </w:rPr>
        <w:lastRenderedPageBreak/>
        <w:t>that the agreement must be in writing, and it must be signed before the work is created.</w:t>
      </w:r>
      <w:r w:rsidR="00EA7E1C">
        <w:rPr>
          <w:rFonts w:eastAsia="Times New Roman" w:cs="Times New Roman"/>
          <w:szCs w:val="24"/>
        </w:rPr>
        <w:t xml:space="preserve"> Because the written instrument was not signed until after the creation of the work, this is not a work made for hire and the Court should grant the Motion for Dismissal. </w:t>
      </w:r>
    </w:p>
    <w:p w14:paraId="43FF65D4" w14:textId="77777777" w:rsidR="00B00CF1" w:rsidRDefault="0028612C" w:rsidP="0028612C">
      <w:pPr>
        <w:spacing w:after="240" w:line="240" w:lineRule="auto"/>
        <w:ind w:left="720" w:hanging="720"/>
        <w:rPr>
          <w:rFonts w:eastAsia="Times New Roman" w:cs="Times New Roman"/>
          <w:b/>
          <w:szCs w:val="24"/>
        </w:rPr>
      </w:pPr>
      <w:r>
        <w:rPr>
          <w:rFonts w:eastAsia="Times New Roman" w:cs="Times New Roman"/>
          <w:b/>
          <w:szCs w:val="24"/>
        </w:rPr>
        <w:t xml:space="preserve">III. </w:t>
      </w:r>
      <w:r>
        <w:rPr>
          <w:rFonts w:eastAsia="Times New Roman" w:cs="Times New Roman"/>
          <w:b/>
          <w:szCs w:val="24"/>
        </w:rPr>
        <w:tab/>
        <w:t>AGENCY MANIFESTATIONS AND LEGISLATIVE HISTORY SHOW THAT THE WRITTEN INSTRUMENT WAS INTENDED TO BE REQUIRED PRECEDING THE CREATION OF THE WORK.</w:t>
      </w:r>
    </w:p>
    <w:p w14:paraId="37F25181" w14:textId="77777777" w:rsidR="00A64965" w:rsidRDefault="002D337C" w:rsidP="006F4094">
      <w:pPr>
        <w:spacing w:after="240"/>
        <w:ind w:firstLine="720"/>
        <w:jc w:val="both"/>
        <w:rPr>
          <w:rFonts w:eastAsia="Times New Roman" w:cs="Times New Roman"/>
          <w:szCs w:val="24"/>
        </w:rPr>
      </w:pPr>
      <w:r>
        <w:rPr>
          <w:rFonts w:eastAsia="Times New Roman" w:cs="Times New Roman"/>
          <w:szCs w:val="24"/>
        </w:rPr>
        <w:t xml:space="preserve">The Copyright Act </w:t>
      </w:r>
      <w:r w:rsidR="00A647E5">
        <w:rPr>
          <w:rFonts w:eastAsia="Times New Roman" w:cs="Times New Roman"/>
          <w:szCs w:val="24"/>
        </w:rPr>
        <w:t xml:space="preserve">of 1976 </w:t>
      </w:r>
      <w:r>
        <w:rPr>
          <w:rFonts w:eastAsia="Times New Roman" w:cs="Times New Roman"/>
          <w:szCs w:val="24"/>
        </w:rPr>
        <w:t xml:space="preserve">represented the first comprehensive overhauling of the copyright law since 1909. </w:t>
      </w:r>
      <w:r w:rsidR="00B152FA">
        <w:rPr>
          <w:rFonts w:eastAsia="Times New Roman" w:cs="Times New Roman"/>
          <w:szCs w:val="24"/>
        </w:rPr>
        <w:t>S</w:t>
      </w:r>
      <w:r w:rsidR="00D07FB6">
        <w:rPr>
          <w:rFonts w:eastAsia="Times New Roman" w:cs="Times New Roman"/>
          <w:szCs w:val="24"/>
        </w:rPr>
        <w:t>. Rep. No.</w:t>
      </w:r>
      <w:r w:rsidR="00B152FA">
        <w:rPr>
          <w:rFonts w:eastAsia="Times New Roman" w:cs="Times New Roman"/>
          <w:szCs w:val="24"/>
        </w:rPr>
        <w:t xml:space="preserve"> 94-473, at 61 (1975)</w:t>
      </w:r>
      <w:r w:rsidR="009A4F27">
        <w:rPr>
          <w:rFonts w:eastAsia="Times New Roman" w:cs="Times New Roman"/>
          <w:szCs w:val="24"/>
        </w:rPr>
        <w:t>. Among the purposes of the overhaul was a desire to protect the interests of the creators of works, such as Ms. Lime, from the more s</w:t>
      </w:r>
      <w:r w:rsidR="006534E3">
        <w:rPr>
          <w:rFonts w:eastAsia="Times New Roman" w:cs="Times New Roman"/>
          <w:szCs w:val="24"/>
        </w:rPr>
        <w:t>ophisticated parties with which</w:t>
      </w:r>
      <w:r w:rsidR="009A4F27">
        <w:rPr>
          <w:rFonts w:eastAsia="Times New Roman" w:cs="Times New Roman"/>
          <w:szCs w:val="24"/>
        </w:rPr>
        <w:t xml:space="preserve"> they </w:t>
      </w:r>
      <w:r w:rsidR="006534E3">
        <w:rPr>
          <w:rFonts w:eastAsia="Times New Roman" w:cs="Times New Roman"/>
          <w:szCs w:val="24"/>
        </w:rPr>
        <w:t>often enter into agreements, such as Plaintiff</w:t>
      </w:r>
      <w:r w:rsidR="009A4F27">
        <w:rPr>
          <w:rFonts w:eastAsia="Times New Roman" w:cs="Times New Roman"/>
          <w:szCs w:val="24"/>
        </w:rPr>
        <w:t xml:space="preserve">. </w:t>
      </w:r>
      <w:r w:rsidR="008C52FD">
        <w:rPr>
          <w:rFonts w:eastAsia="Times New Roman" w:cs="Times New Roman"/>
          <w:szCs w:val="24"/>
        </w:rPr>
        <w:t>The works made for hire doctrine, which is a “carefully balance</w:t>
      </w:r>
      <w:r w:rsidR="006534E3">
        <w:rPr>
          <w:rFonts w:eastAsia="Times New Roman" w:cs="Times New Roman"/>
          <w:szCs w:val="24"/>
        </w:rPr>
        <w:t>d</w:t>
      </w:r>
      <w:r w:rsidR="008C52FD">
        <w:rPr>
          <w:rFonts w:eastAsia="Times New Roman" w:cs="Times New Roman"/>
          <w:szCs w:val="24"/>
        </w:rPr>
        <w:t xml:space="preserve"> compromise” is an example of this</w:t>
      </w:r>
      <w:r w:rsidR="006534E3">
        <w:rPr>
          <w:rFonts w:eastAsia="Times New Roman" w:cs="Times New Roman"/>
          <w:szCs w:val="24"/>
        </w:rPr>
        <w:t xml:space="preserve"> protection</w:t>
      </w:r>
      <w:r w:rsidR="008C52FD">
        <w:rPr>
          <w:rFonts w:eastAsia="Times New Roman" w:cs="Times New Roman"/>
          <w:szCs w:val="24"/>
        </w:rPr>
        <w:t xml:space="preserve">. </w:t>
      </w:r>
      <w:r w:rsidR="00D07FB6">
        <w:rPr>
          <w:rFonts w:eastAsia="Times New Roman" w:cs="Times New Roman"/>
          <w:szCs w:val="24"/>
        </w:rPr>
        <w:t>H.R. Rep</w:t>
      </w:r>
      <w:r w:rsidR="008C52FD">
        <w:rPr>
          <w:rFonts w:eastAsia="Times New Roman" w:cs="Times New Roman"/>
          <w:szCs w:val="24"/>
        </w:rPr>
        <w:t>.</w:t>
      </w:r>
      <w:r w:rsidR="00D07FB6">
        <w:rPr>
          <w:rFonts w:eastAsia="Times New Roman" w:cs="Times New Roman"/>
          <w:szCs w:val="24"/>
        </w:rPr>
        <w:t xml:space="preserve"> No.</w:t>
      </w:r>
      <w:r w:rsidR="006534E3">
        <w:rPr>
          <w:rFonts w:eastAsia="Times New Roman" w:cs="Times New Roman"/>
          <w:szCs w:val="24"/>
        </w:rPr>
        <w:t xml:space="preserve"> 94-1476, at 76</w:t>
      </w:r>
      <w:r w:rsidR="008C52FD">
        <w:rPr>
          <w:rFonts w:eastAsia="Times New Roman" w:cs="Times New Roman"/>
          <w:szCs w:val="24"/>
        </w:rPr>
        <w:t xml:space="preserve"> </w:t>
      </w:r>
      <w:r w:rsidR="006534E3">
        <w:rPr>
          <w:rFonts w:eastAsia="Times New Roman" w:cs="Times New Roman"/>
          <w:szCs w:val="24"/>
        </w:rPr>
        <w:t>(</w:t>
      </w:r>
      <w:r w:rsidR="008C52FD">
        <w:rPr>
          <w:rFonts w:eastAsia="Times New Roman" w:cs="Times New Roman"/>
          <w:szCs w:val="24"/>
        </w:rPr>
        <w:t>1976</w:t>
      </w:r>
      <w:r w:rsidR="006534E3">
        <w:rPr>
          <w:rFonts w:eastAsia="Times New Roman" w:cs="Times New Roman"/>
          <w:szCs w:val="24"/>
        </w:rPr>
        <w:t>)</w:t>
      </w:r>
      <w:r w:rsidR="008C52FD">
        <w:rPr>
          <w:rFonts w:eastAsia="Times New Roman" w:cs="Times New Roman"/>
          <w:szCs w:val="24"/>
        </w:rPr>
        <w:t>. Wh</w:t>
      </w:r>
      <w:r w:rsidR="000460E2">
        <w:rPr>
          <w:rFonts w:eastAsia="Times New Roman" w:cs="Times New Roman"/>
          <w:szCs w:val="24"/>
        </w:rPr>
        <w:t>ile the bill was being created</w:t>
      </w:r>
      <w:r w:rsidR="008C52FD">
        <w:rPr>
          <w:rFonts w:eastAsia="Times New Roman" w:cs="Times New Roman"/>
          <w:szCs w:val="24"/>
        </w:rPr>
        <w:t xml:space="preserve">, a group of screenwriters made a suggestion to Congress for a proposed alteration to the work made for hire provision. The proposal was declined, with the comment that </w:t>
      </w:r>
      <w:r w:rsidR="008C52FD" w:rsidRPr="00517A96">
        <w:rPr>
          <w:rFonts w:eastAsia="Times New Roman" w:cs="Times New Roman"/>
          <w:szCs w:val="24"/>
        </w:rPr>
        <w:t>“</w:t>
      </w:r>
      <w:r w:rsidR="008C52FD" w:rsidRPr="00517A96">
        <w:rPr>
          <w:rFonts w:cs="Times New Roman"/>
          <w:szCs w:val="24"/>
        </w:rPr>
        <w:t>while this change might theoretically improve the bargaining position of screenwriters and others as a group,</w:t>
      </w:r>
      <w:r w:rsidR="008C52FD" w:rsidRPr="00517A96">
        <w:rPr>
          <w:rStyle w:val="apple-converted-space"/>
          <w:rFonts w:cs="Times New Roman"/>
          <w:szCs w:val="24"/>
        </w:rPr>
        <w:t> </w:t>
      </w:r>
      <w:r w:rsidR="008C52FD" w:rsidRPr="00517A96">
        <w:rPr>
          <w:rFonts w:cs="Times New Roman"/>
          <w:szCs w:val="24"/>
        </w:rPr>
        <w:t xml:space="preserve">the practical benefits that individual authors would receive are highly conjectural.” </w:t>
      </w:r>
      <w:r w:rsidR="008C52FD" w:rsidRPr="00517A96">
        <w:rPr>
          <w:rFonts w:cs="Times New Roman"/>
          <w:szCs w:val="24"/>
          <w:u w:val="single"/>
        </w:rPr>
        <w:t>Id</w:t>
      </w:r>
      <w:r w:rsidR="008C52FD" w:rsidRPr="00517A96">
        <w:rPr>
          <w:rFonts w:eastAsia="Times New Roman" w:cs="Times New Roman"/>
          <w:szCs w:val="24"/>
        </w:rPr>
        <w:t xml:space="preserve">. This anecdote is instructive for two reasons. First, it affirms that the legislators were concerned with </w:t>
      </w:r>
      <w:r w:rsidR="008C52FD">
        <w:rPr>
          <w:rFonts w:eastAsia="Times New Roman" w:cs="Times New Roman"/>
          <w:szCs w:val="24"/>
        </w:rPr>
        <w:t>protecting the individual authors, such as Ms. Lime. Second, it shows that the legislators have some doubt as to whether authors are able to look out for their own interests without help. T</w:t>
      </w:r>
      <w:r w:rsidR="00633EBB">
        <w:rPr>
          <w:rFonts w:eastAsia="Times New Roman" w:cs="Times New Roman"/>
          <w:szCs w:val="24"/>
        </w:rPr>
        <w:t>his is especially true when authors</w:t>
      </w:r>
      <w:r w:rsidR="008C52FD">
        <w:rPr>
          <w:rFonts w:eastAsia="Times New Roman" w:cs="Times New Roman"/>
          <w:szCs w:val="24"/>
        </w:rPr>
        <w:t xml:space="preserve"> are entering into contracts with parties who have more knowledge of the practical effects of their agreeme</w:t>
      </w:r>
      <w:r w:rsidR="00D07FB6">
        <w:rPr>
          <w:rFonts w:eastAsia="Times New Roman" w:cs="Times New Roman"/>
          <w:szCs w:val="24"/>
        </w:rPr>
        <w:t>nts, and therefore may be able</w:t>
      </w:r>
      <w:r w:rsidR="008C52FD">
        <w:rPr>
          <w:rFonts w:eastAsia="Times New Roman" w:cs="Times New Roman"/>
          <w:szCs w:val="24"/>
        </w:rPr>
        <w:t xml:space="preserve"> to exploit the authors.</w:t>
      </w:r>
      <w:r w:rsidR="00D07FB6">
        <w:rPr>
          <w:rFonts w:eastAsia="Times New Roman" w:cs="Times New Roman"/>
          <w:szCs w:val="24"/>
        </w:rPr>
        <w:t xml:space="preserve"> </w:t>
      </w:r>
      <w:r w:rsidR="000460E2">
        <w:rPr>
          <w:rFonts w:eastAsia="Times New Roman" w:cs="Times New Roman"/>
          <w:szCs w:val="24"/>
        </w:rPr>
        <w:t xml:space="preserve">Congress showed a clear intent that in a case such as </w:t>
      </w:r>
      <w:proofErr w:type="gramStart"/>
      <w:r w:rsidR="000460E2">
        <w:rPr>
          <w:rFonts w:eastAsia="Times New Roman" w:cs="Times New Roman"/>
          <w:szCs w:val="24"/>
        </w:rPr>
        <w:t>this,</w:t>
      </w:r>
      <w:proofErr w:type="gramEnd"/>
      <w:r w:rsidR="000460E2">
        <w:rPr>
          <w:rFonts w:eastAsia="Times New Roman" w:cs="Times New Roman"/>
          <w:szCs w:val="24"/>
        </w:rPr>
        <w:t xml:space="preserve"> it wanted to protect someone in Ms. Lime’s position. Doing so would mean requiring that a written instrument be signed before the work is created.</w:t>
      </w:r>
    </w:p>
    <w:p w14:paraId="662D9362" w14:textId="77777777" w:rsidR="00FB7B2A" w:rsidRDefault="00D07FB6" w:rsidP="00372027">
      <w:pPr>
        <w:spacing w:after="240"/>
        <w:ind w:firstLine="720"/>
        <w:jc w:val="both"/>
        <w:rPr>
          <w:rFonts w:eastAsia="Times New Roman" w:cs="Times New Roman"/>
          <w:szCs w:val="24"/>
        </w:rPr>
      </w:pPr>
      <w:r>
        <w:rPr>
          <w:rFonts w:eastAsia="Times New Roman" w:cs="Times New Roman"/>
          <w:szCs w:val="24"/>
        </w:rPr>
        <w:lastRenderedPageBreak/>
        <w:t>Barbara Ringer</w:t>
      </w:r>
      <w:r w:rsidR="00967394">
        <w:rPr>
          <w:rFonts w:eastAsia="Times New Roman" w:cs="Times New Roman"/>
          <w:szCs w:val="24"/>
        </w:rPr>
        <w:t>, the Register of Copyrights at</w:t>
      </w:r>
      <w:r>
        <w:rPr>
          <w:rFonts w:eastAsia="Times New Roman" w:cs="Times New Roman"/>
          <w:szCs w:val="24"/>
        </w:rPr>
        <w:t xml:space="preserve"> the U.S. Copyright Office</w:t>
      </w:r>
      <w:r w:rsidR="00967394">
        <w:rPr>
          <w:rFonts w:eastAsia="Times New Roman" w:cs="Times New Roman"/>
          <w:szCs w:val="24"/>
        </w:rPr>
        <w:t>,</w:t>
      </w:r>
      <w:r>
        <w:rPr>
          <w:rFonts w:eastAsia="Times New Roman" w:cs="Times New Roman"/>
          <w:szCs w:val="24"/>
        </w:rPr>
        <w:t xml:space="preserve"> acknowledged that this exploitation was one of the fears when the work made for hire part of the Act was being formed, saying that “This approach [requiring a signed writing] has been challenged on the ground that authors will simply sign these printed form contracts and thereby assign away their rights without realizing they’re doing so.” </w:t>
      </w:r>
      <w:r w:rsidR="00372027" w:rsidRPr="00372027">
        <w:rPr>
          <w:rFonts w:eastAsia="Times New Roman" w:cs="Times New Roman"/>
          <w:szCs w:val="24"/>
          <w:u w:val="single"/>
        </w:rPr>
        <w:t>1964 Revision Bill</w:t>
      </w:r>
      <w:r w:rsidR="00967394" w:rsidRPr="00372027">
        <w:rPr>
          <w:rFonts w:eastAsia="Times New Roman" w:cs="Times New Roman"/>
          <w:szCs w:val="24"/>
          <w:u w:val="single"/>
        </w:rPr>
        <w:t xml:space="preserve">: Hearings on H.R. 12354 </w:t>
      </w:r>
      <w:r w:rsidR="00372027" w:rsidRPr="00372027">
        <w:rPr>
          <w:rFonts w:eastAsia="Times New Roman" w:cs="Times New Roman"/>
          <w:szCs w:val="24"/>
          <w:u w:val="single"/>
        </w:rPr>
        <w:t>Before the Committee on the Judiciary</w:t>
      </w:r>
      <w:r w:rsidR="00372027">
        <w:rPr>
          <w:rFonts w:eastAsia="Times New Roman" w:cs="Times New Roman"/>
          <w:szCs w:val="24"/>
        </w:rPr>
        <w:t>, 88</w:t>
      </w:r>
      <w:r w:rsidR="00372027" w:rsidRPr="00372027">
        <w:rPr>
          <w:rFonts w:eastAsia="Times New Roman" w:cs="Times New Roman"/>
          <w:szCs w:val="24"/>
          <w:vertAlign w:val="superscript"/>
        </w:rPr>
        <w:t>th</w:t>
      </w:r>
      <w:r w:rsidR="00372027">
        <w:rPr>
          <w:rFonts w:eastAsia="Times New Roman" w:cs="Times New Roman"/>
          <w:szCs w:val="24"/>
        </w:rPr>
        <w:t xml:space="preserve"> Cong. 145 (1965). </w:t>
      </w:r>
      <w:r w:rsidR="00A64965">
        <w:rPr>
          <w:rFonts w:eastAsia="Times New Roman" w:cs="Times New Roman"/>
          <w:szCs w:val="24"/>
        </w:rPr>
        <w:t xml:space="preserve">Ringer’s statement is a strong showing that Congress had an interest in protecting authors from predatory parties. Indeed, she goes on to point out that Congress kept the signed writing requirement, despite the potential for an author to unwittingly sign away all of her rights, because there is an additional safeguard: “I would point out that it has to be a ‘work prepared on special order or commission’ in the first place. It would not be considered a ‘work made for hire’ if the contract were signed later on-after the work was written, for example.” Id. </w:t>
      </w:r>
      <w:r w:rsidR="00D56845">
        <w:rPr>
          <w:rFonts w:eastAsia="Times New Roman" w:cs="Times New Roman"/>
          <w:szCs w:val="24"/>
        </w:rPr>
        <w:t>There could not be a purer</w:t>
      </w:r>
      <w:r w:rsidR="00A64965">
        <w:rPr>
          <w:rFonts w:eastAsia="Times New Roman" w:cs="Times New Roman"/>
          <w:szCs w:val="24"/>
        </w:rPr>
        <w:t xml:space="preserve"> </w:t>
      </w:r>
      <w:r w:rsidR="00D56845">
        <w:rPr>
          <w:rFonts w:eastAsia="Times New Roman" w:cs="Times New Roman"/>
          <w:szCs w:val="24"/>
        </w:rPr>
        <w:t>or more to-the-point statement on the topic. The legislative history shows that in creating the 1976 Copyright Act, Congress intended to protect the creators of original works. One of their chosen methods of protecting authors was to require that a written instrument be signed prior to the creation of a work in order for that work to be a work made for hire.</w:t>
      </w:r>
      <w:r w:rsidR="00372027">
        <w:rPr>
          <w:rFonts w:eastAsia="Times New Roman" w:cs="Times New Roman"/>
          <w:szCs w:val="24"/>
        </w:rPr>
        <w:t xml:space="preserve"> The Court should honor this by granting the Motion for Dismissal.</w:t>
      </w:r>
    </w:p>
    <w:p w14:paraId="7D7C086A" w14:textId="77777777" w:rsidR="00D07FB6" w:rsidRDefault="00FB7B2A" w:rsidP="00F05C56">
      <w:pPr>
        <w:spacing w:after="240" w:line="240" w:lineRule="auto"/>
        <w:ind w:left="720" w:hanging="720"/>
        <w:rPr>
          <w:rFonts w:eastAsia="Times New Roman" w:cs="Times New Roman"/>
          <w:szCs w:val="24"/>
        </w:rPr>
      </w:pPr>
      <w:r>
        <w:rPr>
          <w:rFonts w:eastAsia="Times New Roman" w:cs="Times New Roman"/>
          <w:b/>
          <w:szCs w:val="24"/>
        </w:rPr>
        <w:t>IV.</w:t>
      </w:r>
      <w:r>
        <w:rPr>
          <w:rFonts w:eastAsia="Times New Roman" w:cs="Times New Roman"/>
          <w:b/>
          <w:szCs w:val="24"/>
        </w:rPr>
        <w:tab/>
      </w:r>
      <w:r w:rsidR="00F05C56">
        <w:rPr>
          <w:rFonts w:eastAsia="Times New Roman" w:cs="Times New Roman"/>
          <w:b/>
          <w:szCs w:val="24"/>
        </w:rPr>
        <w:t>POLICY CONSIDERATIONS MAKE IT CLEAR THAT A SIGNED INSTRUMENT IS NECESSARY BEFORE CREATION OF THE WORK.</w:t>
      </w:r>
      <w:r w:rsidR="00A64965">
        <w:rPr>
          <w:rFonts w:eastAsia="Times New Roman" w:cs="Times New Roman"/>
          <w:szCs w:val="24"/>
        </w:rPr>
        <w:t xml:space="preserve"> </w:t>
      </w:r>
    </w:p>
    <w:p w14:paraId="1A5BC757" w14:textId="77777777" w:rsidR="001A6BCD" w:rsidRDefault="00507858" w:rsidP="006F4094">
      <w:pPr>
        <w:spacing w:after="240"/>
        <w:ind w:firstLine="720"/>
        <w:jc w:val="both"/>
        <w:rPr>
          <w:rFonts w:eastAsia="Times New Roman" w:cs="Times New Roman"/>
          <w:szCs w:val="24"/>
        </w:rPr>
      </w:pPr>
      <w:r>
        <w:rPr>
          <w:rFonts w:eastAsia="Times New Roman" w:cs="Times New Roman"/>
          <w:szCs w:val="24"/>
        </w:rPr>
        <w:t>In</w:t>
      </w:r>
      <w:r w:rsidR="00EA5126">
        <w:rPr>
          <w:rFonts w:eastAsia="Times New Roman" w:cs="Times New Roman"/>
          <w:szCs w:val="24"/>
        </w:rPr>
        <w:t xml:space="preserve">terpreting 17 U.S.C. § 101(2) to require that the written instrument be signed before the work is created is the better choice from a policy standpoint. One of the compelling arguments for a regime that requires signing prior to creation is that it will make ownership of the work much more clear. This has multiple benefits. First, it will surely have the effect of greatly diminishing the amount of litigation dealing with ownership of works. If two </w:t>
      </w:r>
      <w:r w:rsidR="001A6BCD">
        <w:rPr>
          <w:rFonts w:eastAsia="Times New Roman" w:cs="Times New Roman"/>
          <w:szCs w:val="24"/>
        </w:rPr>
        <w:t>or more parties each</w:t>
      </w:r>
      <w:r w:rsidR="00EA5126">
        <w:rPr>
          <w:rFonts w:eastAsia="Times New Roman" w:cs="Times New Roman"/>
          <w:szCs w:val="24"/>
        </w:rPr>
        <w:t xml:space="preserve"> believe that they own the work, and the work is of any value, it is </w:t>
      </w:r>
      <w:r w:rsidR="001A6BCD">
        <w:rPr>
          <w:rFonts w:eastAsia="Times New Roman" w:cs="Times New Roman"/>
          <w:szCs w:val="24"/>
        </w:rPr>
        <w:t xml:space="preserve">a predictable consequence </w:t>
      </w:r>
      <w:r w:rsidR="001A6BCD">
        <w:rPr>
          <w:rFonts w:eastAsia="Times New Roman" w:cs="Times New Roman"/>
          <w:szCs w:val="24"/>
        </w:rPr>
        <w:lastRenderedPageBreak/>
        <w:t xml:space="preserve">that each party will endeavor to benefit from that perceived ownership of the work. The easiest way to avoid such situations is to make ownership so clear that no party could be mistaken as to who owns the work. Requiring a signed writing prior to creation of the work would achieve this goal of reducing confusion, and it would make the ownership clear at the earliest time possible. </w:t>
      </w:r>
      <w:r w:rsidR="00C10457">
        <w:rPr>
          <w:rFonts w:eastAsia="Times New Roman" w:cs="Times New Roman"/>
          <w:szCs w:val="24"/>
        </w:rPr>
        <w:t>If the written instrument could be signed either before or after the work is created, it would never be clear whether the work is going to belong to the party that commissioned the work</w:t>
      </w:r>
      <w:r w:rsidR="00A054EB">
        <w:rPr>
          <w:rFonts w:eastAsia="Times New Roman" w:cs="Times New Roman"/>
          <w:szCs w:val="24"/>
        </w:rPr>
        <w:t xml:space="preserve"> because the work is originally owned by the author but could be subject to transfer at some indeterminate point in the future. Such a regime would maximize the time during which ownership of the work is unclear. </w:t>
      </w:r>
      <w:r w:rsidR="001A6BCD">
        <w:rPr>
          <w:rFonts w:eastAsia="Times New Roman" w:cs="Times New Roman"/>
          <w:szCs w:val="24"/>
        </w:rPr>
        <w:t xml:space="preserve">If there is less </w:t>
      </w:r>
      <w:r w:rsidR="00D43722">
        <w:rPr>
          <w:rFonts w:eastAsia="Times New Roman" w:cs="Times New Roman"/>
          <w:szCs w:val="24"/>
        </w:rPr>
        <w:t>time during which</w:t>
      </w:r>
      <w:r w:rsidR="001A6BCD">
        <w:rPr>
          <w:rFonts w:eastAsia="Times New Roman" w:cs="Times New Roman"/>
          <w:szCs w:val="24"/>
        </w:rPr>
        <w:t xml:space="preserve"> there is confusion over the ownership of works, it stands to reason that there will be less litigation over the ownership of the works.</w:t>
      </w:r>
      <w:r w:rsidR="00372027">
        <w:rPr>
          <w:rFonts w:eastAsia="Times New Roman" w:cs="Times New Roman"/>
          <w:szCs w:val="24"/>
        </w:rPr>
        <w:t xml:space="preserve"> Therefore, written instruments should be required prior to creation of the work.</w:t>
      </w:r>
    </w:p>
    <w:p w14:paraId="4DFB1FC2" w14:textId="77777777" w:rsidR="00D43722" w:rsidRDefault="00D43722" w:rsidP="006F4094">
      <w:pPr>
        <w:spacing w:after="240"/>
        <w:ind w:firstLine="720"/>
        <w:jc w:val="both"/>
        <w:rPr>
          <w:rFonts w:eastAsia="Times New Roman" w:cs="Times New Roman"/>
          <w:szCs w:val="24"/>
        </w:rPr>
      </w:pPr>
      <w:r>
        <w:rPr>
          <w:rFonts w:eastAsia="Times New Roman" w:cs="Times New Roman"/>
          <w:szCs w:val="24"/>
        </w:rPr>
        <w:t xml:space="preserve">In addition to reducing the amount of litigation, there is a monetary benefit to be gained by establishing clear ownership earlier in the process. Often, the financial viability of a project will depend on how well it is able to be marketed to potential buyers or advertisers. Making ownership clear at an earlier stage will maximize the potential for the owner of the work </w:t>
      </w:r>
      <w:r w:rsidR="00265AE5">
        <w:rPr>
          <w:rFonts w:eastAsia="Times New Roman" w:cs="Times New Roman"/>
          <w:szCs w:val="24"/>
        </w:rPr>
        <w:t xml:space="preserve">(whether the author or the person who commissioned the work) </w:t>
      </w:r>
      <w:r>
        <w:rPr>
          <w:rFonts w:eastAsia="Times New Roman" w:cs="Times New Roman"/>
          <w:szCs w:val="24"/>
        </w:rPr>
        <w:t xml:space="preserve">to successfully market the product. Also, if it turns out that there is no </w:t>
      </w:r>
      <w:r w:rsidR="00265AE5">
        <w:rPr>
          <w:rFonts w:eastAsia="Times New Roman" w:cs="Times New Roman"/>
          <w:szCs w:val="24"/>
        </w:rPr>
        <w:t xml:space="preserve">public </w:t>
      </w:r>
      <w:r>
        <w:rPr>
          <w:rFonts w:eastAsia="Times New Roman" w:cs="Times New Roman"/>
          <w:szCs w:val="24"/>
        </w:rPr>
        <w:t xml:space="preserve">interest in the product, </w:t>
      </w:r>
      <w:r w:rsidR="00265AE5">
        <w:rPr>
          <w:rFonts w:eastAsia="Times New Roman" w:cs="Times New Roman"/>
          <w:szCs w:val="24"/>
        </w:rPr>
        <w:t>it is better for the owner to</w:t>
      </w:r>
      <w:r w:rsidR="0043775A">
        <w:rPr>
          <w:rFonts w:eastAsia="Times New Roman" w:cs="Times New Roman"/>
          <w:szCs w:val="24"/>
        </w:rPr>
        <w:t xml:space="preserve"> learn this at an earlier stage, so that steps can be taken in order to mitigate any losses that might have occurred had the owner been financially depending on wide-spread interest in</w:t>
      </w:r>
      <w:r w:rsidR="00A2747F">
        <w:rPr>
          <w:rFonts w:eastAsia="Times New Roman" w:cs="Times New Roman"/>
          <w:szCs w:val="24"/>
        </w:rPr>
        <w:t xml:space="preserve"> (and sales of)</w:t>
      </w:r>
      <w:r w:rsidR="0043775A">
        <w:rPr>
          <w:rFonts w:eastAsia="Times New Roman" w:cs="Times New Roman"/>
          <w:szCs w:val="24"/>
        </w:rPr>
        <w:t xml:space="preserve"> the work.</w:t>
      </w:r>
      <w:r w:rsidR="00A2747F">
        <w:rPr>
          <w:rFonts w:eastAsia="Times New Roman" w:cs="Times New Roman"/>
          <w:szCs w:val="24"/>
        </w:rPr>
        <w:t xml:space="preserve"> Therefore, the Court should require that the agreement be signed prior to creation and grant the Motion for Dismissal.</w:t>
      </w:r>
      <w:r w:rsidR="0043775A">
        <w:rPr>
          <w:rFonts w:eastAsia="Times New Roman" w:cs="Times New Roman"/>
          <w:szCs w:val="24"/>
        </w:rPr>
        <w:t xml:space="preserve"> </w:t>
      </w:r>
    </w:p>
    <w:p w14:paraId="35FE366F" w14:textId="77777777" w:rsidR="00F05C56" w:rsidRDefault="001A6BCD" w:rsidP="00517A96">
      <w:pPr>
        <w:spacing w:after="240"/>
        <w:ind w:firstLine="720"/>
        <w:jc w:val="both"/>
        <w:rPr>
          <w:rFonts w:eastAsia="Times New Roman" w:cs="Times New Roman"/>
          <w:szCs w:val="24"/>
        </w:rPr>
      </w:pPr>
      <w:r>
        <w:rPr>
          <w:rFonts w:eastAsia="Times New Roman" w:cs="Times New Roman"/>
          <w:szCs w:val="24"/>
        </w:rPr>
        <w:t xml:space="preserve">Another benefit of interpreting 17 U.S.C. § 101(2) to require a signed writing prior to creation of the work is that it will serve to minimize the opportunity for the more sophisticated </w:t>
      </w:r>
      <w:r>
        <w:rPr>
          <w:rFonts w:eastAsia="Times New Roman" w:cs="Times New Roman"/>
          <w:szCs w:val="24"/>
        </w:rPr>
        <w:lastRenderedPageBreak/>
        <w:t xml:space="preserve">party to engage in predatory, dishonest, or misleading conduct. </w:t>
      </w:r>
      <w:r w:rsidR="00D43722">
        <w:rPr>
          <w:rFonts w:eastAsia="Times New Roman" w:cs="Times New Roman"/>
          <w:szCs w:val="24"/>
        </w:rPr>
        <w:t xml:space="preserve">Although it did not happen in this case, it is not difficult to imagine a scenario in which Plaintiff could have used its advance bargaining power to its unfair advantage. </w:t>
      </w:r>
      <w:r w:rsidR="00FC7BAD" w:rsidRPr="00FC7BAD">
        <w:rPr>
          <w:rFonts w:eastAsia="Times New Roman" w:cs="Times New Roman"/>
          <w:szCs w:val="24"/>
          <w:u w:val="single"/>
        </w:rPr>
        <w:t>Sander v. Alexander Richardson Investments</w:t>
      </w:r>
      <w:r w:rsidR="00FC7BAD" w:rsidRPr="00FC7BAD">
        <w:rPr>
          <w:rFonts w:eastAsia="Times New Roman" w:cs="Times New Roman"/>
          <w:szCs w:val="24"/>
        </w:rPr>
        <w:t>, 334 F.3d 712, 720 (8th Cir. 2003)</w:t>
      </w:r>
      <w:r w:rsidR="00E742FD">
        <w:rPr>
          <w:rFonts w:eastAsia="Times New Roman" w:cs="Times New Roman"/>
          <w:szCs w:val="24"/>
        </w:rPr>
        <w:t xml:space="preserve"> </w:t>
      </w:r>
      <w:r w:rsidR="00FC7BAD">
        <w:rPr>
          <w:rFonts w:eastAsia="Times New Roman" w:cs="Times New Roman"/>
          <w:szCs w:val="24"/>
        </w:rPr>
        <w:t xml:space="preserve">(inquiring into whether the more sophisticated party exerted its bargaining power coercively). </w:t>
      </w:r>
      <w:r w:rsidR="00D43722">
        <w:rPr>
          <w:rFonts w:eastAsia="Times New Roman" w:cs="Times New Roman"/>
          <w:szCs w:val="24"/>
        </w:rPr>
        <w:t xml:space="preserve">Imagine that, as in this case, at the original meeting Plaintiff suggests that they should not sign the contract until after the work has already been created. Ms. Lime leaves the meeting and slaves over the screenplay at all hours of the day and night, eventually producing a script after endless hours of tireless work. Ms. Lime then turns </w:t>
      </w:r>
      <w:r w:rsidR="002A0242">
        <w:rPr>
          <w:rFonts w:eastAsia="Times New Roman" w:cs="Times New Roman"/>
          <w:szCs w:val="24"/>
        </w:rPr>
        <w:t>in the screenplay to Plaintiff, but, just like in the instant case, Plaintiff does not immediately pay Ms. Lime, nor is the written instrument immediately signed. A few days later, when Ms. Lime meets with Plaintiff to collect her check for all of her hard work, Plaintiff refuses to pay Ms. Lime. Ms. Lime is powerless because Plaintiff never let her sign the contract, and bringing a lawsuit to collect her payment would cost more in litigation costs than she would receive if she wins the lawsuit.</w:t>
      </w:r>
      <w:r w:rsidR="002D1EA2">
        <w:rPr>
          <w:rFonts w:eastAsia="Times New Roman" w:cs="Times New Roman"/>
          <w:szCs w:val="24"/>
        </w:rPr>
        <w:t xml:space="preserve"> This scenario is not what happened in the instant case, but not requiring the written instrument to be signed before the work is created produces the possibility for scenarios like this one. </w:t>
      </w:r>
    </w:p>
    <w:p w14:paraId="747B1BCF" w14:textId="77777777" w:rsidR="001D3194" w:rsidRDefault="00517A96" w:rsidP="00517A96">
      <w:pPr>
        <w:spacing w:after="240"/>
        <w:ind w:firstLine="720"/>
        <w:jc w:val="both"/>
        <w:rPr>
          <w:rFonts w:eastAsia="Times New Roman" w:cs="Times New Roman"/>
          <w:szCs w:val="24"/>
        </w:rPr>
      </w:pPr>
      <w:r>
        <w:rPr>
          <w:rFonts w:eastAsia="Times New Roman" w:cs="Times New Roman"/>
          <w:szCs w:val="24"/>
        </w:rPr>
        <w:t>F</w:t>
      </w:r>
      <w:r w:rsidR="007F45EA">
        <w:rPr>
          <w:rFonts w:eastAsia="Times New Roman" w:cs="Times New Roman"/>
          <w:szCs w:val="24"/>
        </w:rPr>
        <w:t xml:space="preserve">rom a policy standpoint, </w:t>
      </w:r>
      <w:r>
        <w:rPr>
          <w:rFonts w:eastAsia="Times New Roman" w:cs="Times New Roman"/>
          <w:szCs w:val="24"/>
        </w:rPr>
        <w:t xml:space="preserve">a helpful way to reach a determination </w:t>
      </w:r>
      <w:r w:rsidR="007F45EA">
        <w:rPr>
          <w:rFonts w:eastAsia="Times New Roman" w:cs="Times New Roman"/>
          <w:szCs w:val="24"/>
        </w:rPr>
        <w:t xml:space="preserve">would be to look at the benefits of signing the written instrument either before or after the work is created, and then to think about the potential harm in signing the written instrument either before or after the work is created. For the sake of argument, assume that the Plaintiff will invent a creative idea for why signing the writing afterwards would be beneficial. The benefits of having a signed writing beforehand have been expounded upon above. The harm in allowing the writing to be signed after the work is created is self-evident; it is the reason why this case is taking up the Court’s </w:t>
      </w:r>
      <w:r w:rsidR="007F45EA">
        <w:rPr>
          <w:rFonts w:eastAsia="Times New Roman" w:cs="Times New Roman"/>
          <w:szCs w:val="24"/>
        </w:rPr>
        <w:lastRenderedPageBreak/>
        <w:t xml:space="preserve">valuable resources. Most importantly, the harm in requiring that the writing be signed before creation of the work ranges from non-existent to negligible. Potentially, this could lead some authors to sign their rights away too quickly, but nevertheless, Congress has decided that this regime is the best way to protect authors from themselves and from more sophisticated parties. </w:t>
      </w:r>
      <w:r w:rsidR="001D3194">
        <w:rPr>
          <w:rFonts w:eastAsia="Times New Roman" w:cs="Times New Roman"/>
          <w:szCs w:val="24"/>
        </w:rPr>
        <w:t xml:space="preserve">Thus, requiring a pre-creation signing has strong benefits and relatively insignificant detriments, while allowing the written instrument to be signed later on provides only a possible marginal benefit while exponentially increasing the potential for catastrophe. </w:t>
      </w:r>
    </w:p>
    <w:p w14:paraId="31E6CC16" w14:textId="77777777" w:rsidR="00DE0848" w:rsidRDefault="001D3194" w:rsidP="00517A96">
      <w:pPr>
        <w:spacing w:after="240" w:line="240" w:lineRule="auto"/>
        <w:ind w:left="720" w:hanging="720"/>
        <w:rPr>
          <w:rFonts w:eastAsia="Times New Roman" w:cs="Times New Roman"/>
          <w:b/>
          <w:szCs w:val="24"/>
        </w:rPr>
      </w:pPr>
      <w:r>
        <w:rPr>
          <w:rFonts w:eastAsia="Times New Roman" w:cs="Times New Roman"/>
          <w:b/>
          <w:szCs w:val="24"/>
        </w:rPr>
        <w:t xml:space="preserve">V. </w:t>
      </w:r>
      <w:r>
        <w:rPr>
          <w:rFonts w:eastAsia="Times New Roman" w:cs="Times New Roman"/>
          <w:b/>
          <w:szCs w:val="24"/>
        </w:rPr>
        <w:tab/>
        <w:t>THE RULE OF LENITY DICTATES THAT THE COPYRIGHT ACT SHOULD BE INTERPRETED IN THE LIGHT MOST FAVORABLE TO THE DEFENDANT</w:t>
      </w:r>
      <w:r w:rsidR="00DE0848">
        <w:rPr>
          <w:rFonts w:eastAsia="Times New Roman" w:cs="Times New Roman"/>
          <w:b/>
          <w:szCs w:val="24"/>
        </w:rPr>
        <w:t>S</w:t>
      </w:r>
      <w:r>
        <w:rPr>
          <w:rFonts w:eastAsia="Times New Roman" w:cs="Times New Roman"/>
          <w:b/>
          <w:szCs w:val="24"/>
        </w:rPr>
        <w:t>.</w:t>
      </w:r>
    </w:p>
    <w:p w14:paraId="7E303371" w14:textId="77777777" w:rsidR="00FB10AA" w:rsidRDefault="00DE0848" w:rsidP="00E742FD">
      <w:pPr>
        <w:spacing w:after="240"/>
        <w:ind w:firstLine="720"/>
        <w:jc w:val="both"/>
        <w:rPr>
          <w:rFonts w:eastAsia="Times New Roman" w:cs="Times New Roman"/>
          <w:szCs w:val="24"/>
        </w:rPr>
      </w:pPr>
      <w:r>
        <w:rPr>
          <w:rFonts w:eastAsia="Times New Roman" w:cs="Times New Roman"/>
          <w:szCs w:val="24"/>
        </w:rPr>
        <w:t xml:space="preserve">Even if it is found that the plain language is not dispositive of the issue of whether the written instrument must be signed before the work is created, where there is ambiguity in a criminal statute, the rule of lenity provides that </w:t>
      </w:r>
      <w:r w:rsidR="00916F15">
        <w:rPr>
          <w:rFonts w:eastAsia="Times New Roman" w:cs="Times New Roman"/>
          <w:szCs w:val="24"/>
        </w:rPr>
        <w:t xml:space="preserve">any </w:t>
      </w:r>
      <w:r>
        <w:rPr>
          <w:rFonts w:eastAsia="Times New Roman" w:cs="Times New Roman"/>
          <w:szCs w:val="24"/>
        </w:rPr>
        <w:t>ambiguities should be resolved in Ms. Lime</w:t>
      </w:r>
      <w:r w:rsidR="00916F15">
        <w:rPr>
          <w:rFonts w:eastAsia="Times New Roman" w:cs="Times New Roman"/>
          <w:szCs w:val="24"/>
        </w:rPr>
        <w:t>’s</w:t>
      </w:r>
      <w:r>
        <w:rPr>
          <w:rFonts w:eastAsia="Times New Roman" w:cs="Times New Roman"/>
          <w:szCs w:val="24"/>
        </w:rPr>
        <w:t xml:space="preserve"> and </w:t>
      </w:r>
      <w:proofErr w:type="spellStart"/>
      <w:r>
        <w:rPr>
          <w:rFonts w:eastAsia="Times New Roman" w:cs="Times New Roman"/>
          <w:szCs w:val="24"/>
        </w:rPr>
        <w:t>TinyTv’s</w:t>
      </w:r>
      <w:proofErr w:type="spellEnd"/>
      <w:r>
        <w:rPr>
          <w:rFonts w:eastAsia="Times New Roman" w:cs="Times New Roman"/>
          <w:szCs w:val="24"/>
        </w:rPr>
        <w:t xml:space="preserve"> favor. </w:t>
      </w:r>
      <w:proofErr w:type="spellStart"/>
      <w:r w:rsidR="00916F15" w:rsidRPr="005C2452">
        <w:rPr>
          <w:szCs w:val="24"/>
          <w:u w:val="single"/>
        </w:rPr>
        <w:t>Rewis</w:t>
      </w:r>
      <w:proofErr w:type="spellEnd"/>
      <w:r w:rsidR="00916F15" w:rsidRPr="005C2452">
        <w:rPr>
          <w:szCs w:val="24"/>
          <w:u w:val="single"/>
        </w:rPr>
        <w:t xml:space="preserve"> v. United States</w:t>
      </w:r>
      <w:r w:rsidR="00916F15" w:rsidRPr="005C2452">
        <w:rPr>
          <w:szCs w:val="24"/>
        </w:rPr>
        <w:t>, 401 U.S. 808, 812</w:t>
      </w:r>
      <w:r w:rsidR="00E742FD">
        <w:rPr>
          <w:szCs w:val="24"/>
        </w:rPr>
        <w:t xml:space="preserve"> (1971) (holding that </w:t>
      </w:r>
      <w:r w:rsidR="00916F15">
        <w:rPr>
          <w:szCs w:val="24"/>
        </w:rPr>
        <w:t>a</w:t>
      </w:r>
      <w:r w:rsidR="00916F15" w:rsidRPr="005C2452">
        <w:rPr>
          <w:szCs w:val="24"/>
        </w:rPr>
        <w:t xml:space="preserve">mbiguity </w:t>
      </w:r>
      <w:r w:rsidR="00E742FD">
        <w:rPr>
          <w:szCs w:val="24"/>
        </w:rPr>
        <w:t>in</w:t>
      </w:r>
      <w:r w:rsidR="00916F15" w:rsidRPr="005C2452">
        <w:rPr>
          <w:szCs w:val="24"/>
        </w:rPr>
        <w:t xml:space="preserve"> criminal statutes should be resolved in favor of lenity</w:t>
      </w:r>
      <w:r w:rsidR="00E742FD">
        <w:rPr>
          <w:szCs w:val="24"/>
        </w:rPr>
        <w:t xml:space="preserve"> towards the defendant</w:t>
      </w:r>
      <w:r w:rsidR="00916F15">
        <w:rPr>
          <w:szCs w:val="24"/>
        </w:rPr>
        <w:t xml:space="preserve">). </w:t>
      </w:r>
      <w:r w:rsidR="00E742FD">
        <w:rPr>
          <w:szCs w:val="24"/>
        </w:rPr>
        <w:t>When a statute is hybrid, such as this one, the goal of a uniform interpretation of the statute leads to the conclusion that even in a civil case, the rule of lenity is followed.</w:t>
      </w:r>
      <w:r w:rsidR="00E742FD">
        <w:rPr>
          <w:rFonts w:eastAsia="Times New Roman" w:cs="Times New Roman"/>
          <w:szCs w:val="24"/>
        </w:rPr>
        <w:t xml:space="preserve"> </w:t>
      </w:r>
      <w:proofErr w:type="spellStart"/>
      <w:proofErr w:type="gramStart"/>
      <w:r w:rsidR="00E742FD" w:rsidRPr="00FB10AA">
        <w:rPr>
          <w:rFonts w:eastAsia="Times New Roman" w:cs="Times New Roman"/>
          <w:szCs w:val="24"/>
          <w:u w:val="single"/>
        </w:rPr>
        <w:t>Leocal</w:t>
      </w:r>
      <w:proofErr w:type="spellEnd"/>
      <w:r w:rsidR="00E742FD" w:rsidRPr="00FB10AA">
        <w:rPr>
          <w:rFonts w:eastAsia="Times New Roman" w:cs="Times New Roman"/>
          <w:szCs w:val="24"/>
          <w:u w:val="single"/>
        </w:rPr>
        <w:t xml:space="preserve"> v. Ashcroft</w:t>
      </w:r>
      <w:r w:rsidR="00E742FD">
        <w:rPr>
          <w:rFonts w:eastAsia="Times New Roman" w:cs="Times New Roman"/>
          <w:szCs w:val="24"/>
        </w:rPr>
        <w:t>, 543 U.S. 1, 11</w:t>
      </w:r>
      <w:r w:rsidR="00E742FD" w:rsidRPr="00FB10AA">
        <w:rPr>
          <w:rFonts w:eastAsia="Times New Roman" w:cs="Times New Roman"/>
          <w:szCs w:val="24"/>
        </w:rPr>
        <w:t xml:space="preserve"> (2004)</w:t>
      </w:r>
      <w:r w:rsidR="00E742FD">
        <w:rPr>
          <w:rFonts w:eastAsia="Times New Roman" w:cs="Times New Roman"/>
          <w:szCs w:val="24"/>
        </w:rPr>
        <w:t>.</w:t>
      </w:r>
      <w:proofErr w:type="gramEnd"/>
      <w:r w:rsidR="00E742FD">
        <w:rPr>
          <w:rFonts w:eastAsia="Times New Roman" w:cs="Times New Roman"/>
          <w:szCs w:val="24"/>
        </w:rPr>
        <w:t xml:space="preserve"> </w:t>
      </w:r>
      <w:r w:rsidR="00916F15">
        <w:rPr>
          <w:szCs w:val="24"/>
        </w:rPr>
        <w:t xml:space="preserve">While this is a civil case, not a criminal case, the Copyright Act of 1976 contains criminal sanctions. Therefore, this is a criminal statute in addition to being a civil statute. </w:t>
      </w:r>
      <w:proofErr w:type="gramStart"/>
      <w:r w:rsidR="00916F15">
        <w:rPr>
          <w:szCs w:val="24"/>
        </w:rPr>
        <w:t xml:space="preserve">17 U.S.C. § </w:t>
      </w:r>
      <w:r w:rsidR="00FB10AA">
        <w:rPr>
          <w:szCs w:val="24"/>
        </w:rPr>
        <w:t>506.</w:t>
      </w:r>
      <w:proofErr w:type="gramEnd"/>
      <w:r w:rsidR="00FB10AA">
        <w:rPr>
          <w:szCs w:val="24"/>
        </w:rPr>
        <w:t xml:space="preserve"> </w:t>
      </w:r>
      <w:r w:rsidR="00FB10AA">
        <w:rPr>
          <w:rFonts w:eastAsia="Times New Roman" w:cs="Times New Roman"/>
          <w:szCs w:val="24"/>
        </w:rPr>
        <w:t xml:space="preserve">If the rule of lenity is applied to this case, any ambiguity concerning when the written instrument must be signed should be resolved in Ms. Lime’s and </w:t>
      </w:r>
      <w:proofErr w:type="spellStart"/>
      <w:r w:rsidR="00FB10AA">
        <w:rPr>
          <w:rFonts w:eastAsia="Times New Roman" w:cs="Times New Roman"/>
          <w:szCs w:val="24"/>
        </w:rPr>
        <w:t>TinyTV’s</w:t>
      </w:r>
      <w:proofErr w:type="spellEnd"/>
      <w:r w:rsidR="00FB10AA">
        <w:rPr>
          <w:rFonts w:eastAsia="Times New Roman" w:cs="Times New Roman"/>
          <w:szCs w:val="24"/>
        </w:rPr>
        <w:t xml:space="preserve"> favor. Such a resolution would mean that the writing must be signed prior to the work being created in order for it to be a work made for hire. </w:t>
      </w:r>
      <w:r w:rsidR="00E742FD">
        <w:rPr>
          <w:rFonts w:eastAsia="Times New Roman" w:cs="Times New Roman"/>
          <w:szCs w:val="24"/>
        </w:rPr>
        <w:t>Therefore the Court should grant the Motion for Dismissal.</w:t>
      </w:r>
    </w:p>
    <w:p w14:paraId="1A3272E2" w14:textId="77777777" w:rsidR="00594503" w:rsidRPr="00FB10AA" w:rsidRDefault="00594503" w:rsidP="00AD2F03">
      <w:pPr>
        <w:spacing w:after="240" w:line="240" w:lineRule="auto"/>
        <w:ind w:left="720" w:hanging="720"/>
        <w:rPr>
          <w:rFonts w:eastAsia="Times New Roman" w:cs="Times New Roman"/>
          <w:b/>
          <w:szCs w:val="24"/>
        </w:rPr>
      </w:pPr>
      <w:r>
        <w:rPr>
          <w:rFonts w:eastAsia="Times New Roman" w:cs="Times New Roman"/>
          <w:b/>
          <w:szCs w:val="24"/>
        </w:rPr>
        <w:lastRenderedPageBreak/>
        <w:t xml:space="preserve">VI. </w:t>
      </w:r>
      <w:r>
        <w:rPr>
          <w:rFonts w:eastAsia="Times New Roman" w:cs="Times New Roman"/>
          <w:b/>
          <w:szCs w:val="24"/>
        </w:rPr>
        <w:tab/>
        <w:t xml:space="preserve">CASE LAW ESTABLISHES THAT </w:t>
      </w:r>
      <w:r w:rsidR="00F65EED">
        <w:rPr>
          <w:rFonts w:eastAsia="Times New Roman" w:cs="Times New Roman"/>
          <w:b/>
          <w:szCs w:val="24"/>
        </w:rPr>
        <w:t>THE WRITTEN INSTRUMENT MUST BE SIGNED PRIOR TO CREATION OF THE WORK.</w:t>
      </w:r>
    </w:p>
    <w:p w14:paraId="1C6E1342" w14:textId="77777777" w:rsidR="00AD2F03" w:rsidRPr="00AD2F03" w:rsidRDefault="00AD2F03" w:rsidP="00AD2F03">
      <w:pPr>
        <w:pStyle w:val="ListParagraph"/>
        <w:numPr>
          <w:ilvl w:val="0"/>
          <w:numId w:val="5"/>
        </w:numPr>
        <w:spacing w:after="240" w:line="240" w:lineRule="auto"/>
        <w:jc w:val="both"/>
        <w:rPr>
          <w:rFonts w:eastAsia="Times New Roman" w:cs="Times New Roman"/>
          <w:b/>
          <w:i/>
          <w:szCs w:val="24"/>
        </w:rPr>
      </w:pPr>
      <w:r>
        <w:rPr>
          <w:rFonts w:eastAsia="Times New Roman" w:cs="Times New Roman"/>
          <w:b/>
          <w:i/>
          <w:szCs w:val="24"/>
        </w:rPr>
        <w:t xml:space="preserve">The Case Law Supporting Ms. Lime and </w:t>
      </w:r>
      <w:proofErr w:type="spellStart"/>
      <w:r>
        <w:rPr>
          <w:rFonts w:eastAsia="Times New Roman" w:cs="Times New Roman"/>
          <w:b/>
          <w:i/>
          <w:szCs w:val="24"/>
        </w:rPr>
        <w:t>TinyTV’s</w:t>
      </w:r>
      <w:proofErr w:type="spellEnd"/>
      <w:r>
        <w:rPr>
          <w:rFonts w:eastAsia="Times New Roman" w:cs="Times New Roman"/>
          <w:b/>
          <w:i/>
          <w:szCs w:val="24"/>
        </w:rPr>
        <w:t xml:space="preserve"> Interpretation of the Statute is More Similar to the Facts of this Case than the Case Law Supporting Plaintiff’s Interpretation.</w:t>
      </w:r>
    </w:p>
    <w:p w14:paraId="45E58592" w14:textId="77777777" w:rsidR="00AD2F03" w:rsidRDefault="00AD2F03" w:rsidP="00AD2F03">
      <w:pPr>
        <w:spacing w:after="240"/>
        <w:ind w:firstLine="720"/>
        <w:jc w:val="both"/>
        <w:rPr>
          <w:szCs w:val="24"/>
        </w:rPr>
      </w:pPr>
      <w:r>
        <w:rPr>
          <w:rFonts w:eastAsia="Times New Roman" w:cs="Times New Roman"/>
          <w:szCs w:val="24"/>
        </w:rPr>
        <w:t>Renowned</w:t>
      </w:r>
      <w:r w:rsidR="00CE648F">
        <w:rPr>
          <w:rFonts w:eastAsia="Times New Roman" w:cs="Times New Roman"/>
          <w:szCs w:val="24"/>
        </w:rPr>
        <w:t xml:space="preserve"> </w:t>
      </w:r>
      <w:r w:rsidR="00CE648F">
        <w:rPr>
          <w:szCs w:val="24"/>
        </w:rPr>
        <w:t>Judge Posner held that</w:t>
      </w:r>
      <w:r>
        <w:rPr>
          <w:szCs w:val="24"/>
        </w:rPr>
        <w:t>:</w:t>
      </w:r>
      <w:r w:rsidR="00CE648F">
        <w:rPr>
          <w:szCs w:val="24"/>
        </w:rPr>
        <w:t xml:space="preserve"> </w:t>
      </w:r>
    </w:p>
    <w:p w14:paraId="11420D88" w14:textId="77777777" w:rsidR="00AD2F03" w:rsidRDefault="004A395F" w:rsidP="00AD2F03">
      <w:pPr>
        <w:spacing w:after="240" w:line="240" w:lineRule="auto"/>
        <w:ind w:right="720"/>
        <w:jc w:val="both"/>
        <w:rPr>
          <w:szCs w:val="24"/>
        </w:rPr>
      </w:pPr>
      <w:r>
        <w:rPr>
          <w:szCs w:val="24"/>
        </w:rPr>
        <w:t>The creator of property is the owner, unless he is an employee creating the property within the scope of his employment or the parties have agreed in a writing signed by both that the person who commissioned the creation of the property is the owner. The writing must precede the creation of the property in order to serve its purpose of identifying the (</w:t>
      </w:r>
      <w:proofErr w:type="spellStart"/>
      <w:r>
        <w:rPr>
          <w:szCs w:val="24"/>
        </w:rPr>
        <w:t>noncreator</w:t>
      </w:r>
      <w:proofErr w:type="spellEnd"/>
      <w:r>
        <w:rPr>
          <w:szCs w:val="24"/>
        </w:rPr>
        <w:t>) owner unequivocall</w:t>
      </w:r>
      <w:r w:rsidR="00AD2F03">
        <w:rPr>
          <w:szCs w:val="24"/>
        </w:rPr>
        <w:t>y. It did not precede it here.</w:t>
      </w:r>
    </w:p>
    <w:p w14:paraId="2E0DC591" w14:textId="77777777" w:rsidR="00B3715B" w:rsidRDefault="004A395F" w:rsidP="00AD2F03">
      <w:pPr>
        <w:spacing w:after="240"/>
        <w:ind w:firstLine="720"/>
        <w:jc w:val="both"/>
        <w:rPr>
          <w:szCs w:val="24"/>
        </w:rPr>
      </w:pPr>
      <w:r w:rsidRPr="00505ACC">
        <w:rPr>
          <w:szCs w:val="24"/>
          <w:u w:val="single"/>
        </w:rPr>
        <w:t xml:space="preserve">Schiller &amp; Schmidt, Inc. v. </w:t>
      </w:r>
      <w:proofErr w:type="spellStart"/>
      <w:r w:rsidRPr="00505ACC">
        <w:rPr>
          <w:szCs w:val="24"/>
          <w:u w:val="single"/>
        </w:rPr>
        <w:t>Nordisco</w:t>
      </w:r>
      <w:proofErr w:type="spellEnd"/>
      <w:r w:rsidRPr="00505ACC">
        <w:rPr>
          <w:szCs w:val="24"/>
          <w:u w:val="single"/>
        </w:rPr>
        <w:t xml:space="preserve"> Corp.</w:t>
      </w:r>
      <w:r w:rsidRPr="00505ACC">
        <w:rPr>
          <w:szCs w:val="24"/>
        </w:rPr>
        <w:t>, 969 F.2d 410, 413 (7th Cir. 1992)</w:t>
      </w:r>
      <w:r>
        <w:rPr>
          <w:szCs w:val="24"/>
        </w:rPr>
        <w:t xml:space="preserve">. </w:t>
      </w:r>
      <w:r w:rsidR="00AD2F03">
        <w:rPr>
          <w:szCs w:val="24"/>
        </w:rPr>
        <w:t xml:space="preserve">The </w:t>
      </w:r>
      <w:r w:rsidR="00AD2F03">
        <w:rPr>
          <w:i/>
          <w:szCs w:val="24"/>
        </w:rPr>
        <w:t>Schiller</w:t>
      </w:r>
      <w:r w:rsidR="00671648">
        <w:rPr>
          <w:szCs w:val="24"/>
        </w:rPr>
        <w:t xml:space="preserve"> case was </w:t>
      </w:r>
      <w:r w:rsidR="00B3715B">
        <w:rPr>
          <w:szCs w:val="24"/>
        </w:rPr>
        <w:t xml:space="preserve">quite similar to the instant case in that it was </w:t>
      </w:r>
      <w:r w:rsidR="00671648">
        <w:rPr>
          <w:szCs w:val="24"/>
        </w:rPr>
        <w:t xml:space="preserve">an </w:t>
      </w:r>
      <w:r w:rsidR="00B3715B">
        <w:rPr>
          <w:szCs w:val="24"/>
        </w:rPr>
        <w:t>occurrence</w:t>
      </w:r>
      <w:r w:rsidR="00671648">
        <w:rPr>
          <w:szCs w:val="24"/>
        </w:rPr>
        <w:t xml:space="preserve"> in which the parties were regularly meeting with one another in person, and it would have been a simple matter for them to sign a work made for hire agreement. </w:t>
      </w:r>
      <w:r w:rsidR="000C5BF0">
        <w:rPr>
          <w:szCs w:val="24"/>
        </w:rPr>
        <w:t>Since the parties failed to do so before the work (</w:t>
      </w:r>
      <w:r w:rsidR="0097698A">
        <w:rPr>
          <w:szCs w:val="24"/>
        </w:rPr>
        <w:t xml:space="preserve">in </w:t>
      </w:r>
      <w:r w:rsidR="0097698A">
        <w:rPr>
          <w:i/>
          <w:szCs w:val="24"/>
        </w:rPr>
        <w:t>Schiller</w:t>
      </w:r>
      <w:r w:rsidR="0097698A">
        <w:rPr>
          <w:szCs w:val="24"/>
        </w:rPr>
        <w:t xml:space="preserve">, </w:t>
      </w:r>
      <w:proofErr w:type="spellStart"/>
      <w:r w:rsidR="0097698A">
        <w:rPr>
          <w:szCs w:val="24"/>
        </w:rPr>
        <w:t>photographraphy</w:t>
      </w:r>
      <w:proofErr w:type="spellEnd"/>
      <w:r w:rsidR="000C5BF0">
        <w:rPr>
          <w:szCs w:val="24"/>
        </w:rPr>
        <w:t xml:space="preserve">) was created, the Court wisely found that the creator of the work was the owner. </w:t>
      </w:r>
    </w:p>
    <w:p w14:paraId="61611720" w14:textId="77777777" w:rsidR="009E4D1A" w:rsidRDefault="00B3715B" w:rsidP="006F4094">
      <w:pPr>
        <w:spacing w:after="240"/>
        <w:jc w:val="both"/>
        <w:rPr>
          <w:rFonts w:eastAsia="Times New Roman" w:cs="Times New Roman"/>
          <w:szCs w:val="24"/>
        </w:rPr>
      </w:pPr>
      <w:r>
        <w:rPr>
          <w:szCs w:val="24"/>
        </w:rPr>
        <w:tab/>
        <w:t xml:space="preserve">Quite recently, the Ninth Circuit handed down a decision that, if applied to the facts of this case, would surely lead to a determination that Plaintiff is not the owner of “Anticipatory Repudiation.” </w:t>
      </w:r>
      <w:proofErr w:type="spellStart"/>
      <w:proofErr w:type="gramStart"/>
      <w:r w:rsidR="0097698A" w:rsidRPr="009E4D1A">
        <w:rPr>
          <w:rFonts w:eastAsia="Times New Roman" w:cs="Times New Roman"/>
          <w:szCs w:val="24"/>
          <w:u w:val="single"/>
        </w:rPr>
        <w:t>Gladwell</w:t>
      </w:r>
      <w:proofErr w:type="spellEnd"/>
      <w:r w:rsidR="0097698A" w:rsidRPr="009E4D1A">
        <w:rPr>
          <w:rFonts w:eastAsia="Times New Roman" w:cs="Times New Roman"/>
          <w:szCs w:val="24"/>
          <w:u w:val="single"/>
        </w:rPr>
        <w:t xml:space="preserve"> Gov't Services, Inc. v. County of Marin</w:t>
      </w:r>
      <w:r w:rsidR="0097698A" w:rsidRPr="009E4D1A">
        <w:rPr>
          <w:rFonts w:eastAsia="Times New Roman" w:cs="Times New Roman"/>
          <w:szCs w:val="24"/>
        </w:rPr>
        <w:t xml:space="preserve">, 265 F. </w:t>
      </w:r>
      <w:proofErr w:type="spellStart"/>
      <w:r w:rsidR="0097698A" w:rsidRPr="009E4D1A">
        <w:rPr>
          <w:rFonts w:eastAsia="Times New Roman" w:cs="Times New Roman"/>
          <w:szCs w:val="24"/>
        </w:rPr>
        <w:t>App'x</w:t>
      </w:r>
      <w:proofErr w:type="spellEnd"/>
      <w:r w:rsidR="0097698A" w:rsidRPr="009E4D1A">
        <w:rPr>
          <w:rFonts w:eastAsia="Times New Roman" w:cs="Times New Roman"/>
          <w:szCs w:val="24"/>
        </w:rPr>
        <w:t xml:space="preserve"> 624, 626 (9th Cir. 2008)</w:t>
      </w:r>
      <w:r w:rsidR="0097698A">
        <w:rPr>
          <w:rFonts w:eastAsia="Times New Roman" w:cs="Times New Roman"/>
          <w:szCs w:val="24"/>
        </w:rPr>
        <w:t>.</w:t>
      </w:r>
      <w:proofErr w:type="gramEnd"/>
      <w:r w:rsidR="0097698A">
        <w:rPr>
          <w:rFonts w:eastAsia="Times New Roman" w:cs="Times New Roman"/>
          <w:szCs w:val="24"/>
        </w:rPr>
        <w:t xml:space="preserve"> </w:t>
      </w:r>
      <w:r>
        <w:rPr>
          <w:szCs w:val="24"/>
        </w:rPr>
        <w:t xml:space="preserve">In that case, </w:t>
      </w:r>
      <w:r w:rsidR="009E4D1A">
        <w:rPr>
          <w:szCs w:val="24"/>
        </w:rPr>
        <w:t xml:space="preserve">the plaintiff was the creator of the work. Much like Ms. Lime, the plaintiff did not sign a work for hire agreement until after the work was already created. The court held that “the plain language of the statute indicates that a work-for-hire agreement cannot apply to works that are already in existence. Works ‘specially ordered or commissioned’ can only be made </w:t>
      </w:r>
      <w:r w:rsidR="009E4D1A">
        <w:rPr>
          <w:i/>
          <w:szCs w:val="24"/>
        </w:rPr>
        <w:t>after</w:t>
      </w:r>
      <w:r w:rsidR="009E4D1A">
        <w:rPr>
          <w:szCs w:val="24"/>
        </w:rPr>
        <w:t xml:space="preserve"> the execution of an express agreement between the parties.” </w:t>
      </w:r>
      <w:r w:rsidR="0097698A">
        <w:rPr>
          <w:rFonts w:eastAsia="Times New Roman" w:cs="Times New Roman"/>
          <w:szCs w:val="24"/>
          <w:u w:val="single"/>
        </w:rPr>
        <w:t>Id</w:t>
      </w:r>
      <w:r w:rsidR="0097698A">
        <w:rPr>
          <w:rFonts w:eastAsia="Times New Roman" w:cs="Times New Roman"/>
          <w:szCs w:val="24"/>
        </w:rPr>
        <w:t>.</w:t>
      </w:r>
      <w:r w:rsidR="009E4D1A">
        <w:rPr>
          <w:rFonts w:eastAsia="Times New Roman" w:cs="Times New Roman"/>
          <w:szCs w:val="24"/>
        </w:rPr>
        <w:t xml:space="preserve"> </w:t>
      </w:r>
    </w:p>
    <w:p w14:paraId="64C12374" w14:textId="77777777" w:rsidR="0097698A" w:rsidRPr="0097698A" w:rsidRDefault="0097698A" w:rsidP="0097698A">
      <w:pPr>
        <w:pStyle w:val="ListParagraph"/>
        <w:numPr>
          <w:ilvl w:val="0"/>
          <w:numId w:val="5"/>
        </w:numPr>
        <w:spacing w:after="240" w:line="240" w:lineRule="auto"/>
        <w:jc w:val="both"/>
        <w:rPr>
          <w:rFonts w:eastAsia="Times New Roman" w:cs="Times New Roman"/>
          <w:b/>
          <w:i/>
          <w:szCs w:val="24"/>
        </w:rPr>
      </w:pPr>
      <w:r>
        <w:rPr>
          <w:rFonts w:eastAsia="Times New Roman" w:cs="Times New Roman"/>
          <w:b/>
          <w:i/>
          <w:szCs w:val="24"/>
        </w:rPr>
        <w:lastRenderedPageBreak/>
        <w:t xml:space="preserve">Plaintiff’s Case Law Lacks Applicability and Would Work in Ms. Lime and </w:t>
      </w:r>
      <w:proofErr w:type="spellStart"/>
      <w:r>
        <w:rPr>
          <w:rFonts w:eastAsia="Times New Roman" w:cs="Times New Roman"/>
          <w:b/>
          <w:i/>
          <w:szCs w:val="24"/>
        </w:rPr>
        <w:t>TinyTV’s</w:t>
      </w:r>
      <w:proofErr w:type="spellEnd"/>
      <w:r>
        <w:rPr>
          <w:rFonts w:eastAsia="Times New Roman" w:cs="Times New Roman"/>
          <w:b/>
          <w:i/>
          <w:szCs w:val="24"/>
        </w:rPr>
        <w:t xml:space="preserve"> Favor if Heeded. </w:t>
      </w:r>
    </w:p>
    <w:p w14:paraId="607A0A81" w14:textId="77777777" w:rsidR="00A34492" w:rsidRPr="00855248" w:rsidRDefault="0097698A" w:rsidP="0097698A">
      <w:pPr>
        <w:spacing w:after="240"/>
        <w:ind w:firstLine="720"/>
        <w:jc w:val="both"/>
        <w:rPr>
          <w:rFonts w:eastAsia="Times New Roman" w:cs="Times New Roman"/>
          <w:szCs w:val="24"/>
        </w:rPr>
      </w:pPr>
      <w:r>
        <w:rPr>
          <w:rFonts w:eastAsia="Times New Roman" w:cs="Times New Roman"/>
          <w:szCs w:val="24"/>
        </w:rPr>
        <w:t>Even the case law that Plaintiff will inevitably cite in its favor does not have applicability to the facts of this case and in fact advocates for a decision in Defendants’ favor</w:t>
      </w:r>
      <w:r w:rsidR="000604A5">
        <w:rPr>
          <w:rFonts w:eastAsia="Times New Roman" w:cs="Times New Roman"/>
          <w:szCs w:val="24"/>
        </w:rPr>
        <w:t>.</w:t>
      </w:r>
      <w:r>
        <w:rPr>
          <w:rFonts w:eastAsia="Times New Roman" w:cs="Times New Roman"/>
          <w:szCs w:val="24"/>
        </w:rPr>
        <w:t xml:space="preserve"> Plaintiff will most likely cite the </w:t>
      </w:r>
      <w:r>
        <w:rPr>
          <w:rFonts w:eastAsia="Times New Roman" w:cs="Times New Roman"/>
          <w:i/>
          <w:szCs w:val="24"/>
        </w:rPr>
        <w:t xml:space="preserve">Playboy </w:t>
      </w:r>
      <w:r>
        <w:rPr>
          <w:rFonts w:eastAsia="Times New Roman" w:cs="Times New Roman"/>
          <w:szCs w:val="24"/>
        </w:rPr>
        <w:t>case, but it is factually distinguishable from Ms. Lime’s dilemma.</w:t>
      </w:r>
      <w:r w:rsidR="000604A5">
        <w:rPr>
          <w:rFonts w:eastAsia="Times New Roman" w:cs="Times New Roman"/>
          <w:szCs w:val="24"/>
        </w:rPr>
        <w:t xml:space="preserve"> </w:t>
      </w:r>
      <w:r w:rsidR="000604A5">
        <w:rPr>
          <w:rFonts w:eastAsia="Times New Roman" w:cs="Times New Roman"/>
          <w:szCs w:val="24"/>
          <w:u w:val="single"/>
        </w:rPr>
        <w:t>Playboy Enters</w:t>
      </w:r>
      <w:proofErr w:type="gramStart"/>
      <w:r w:rsidR="000604A5">
        <w:rPr>
          <w:rFonts w:eastAsia="Times New Roman" w:cs="Times New Roman"/>
          <w:szCs w:val="24"/>
          <w:u w:val="single"/>
        </w:rPr>
        <w:t>.</w:t>
      </w:r>
      <w:r w:rsidR="000604A5" w:rsidRPr="000604A5">
        <w:rPr>
          <w:rFonts w:eastAsia="Times New Roman" w:cs="Times New Roman"/>
          <w:szCs w:val="24"/>
          <w:u w:val="single"/>
        </w:rPr>
        <w:t>,</w:t>
      </w:r>
      <w:proofErr w:type="gramEnd"/>
      <w:r w:rsidR="000604A5" w:rsidRPr="000604A5">
        <w:rPr>
          <w:rFonts w:eastAsia="Times New Roman" w:cs="Times New Roman"/>
          <w:szCs w:val="24"/>
          <w:u w:val="single"/>
        </w:rPr>
        <w:t xml:space="preserve"> Inc. v. Dumas</w:t>
      </w:r>
      <w:r w:rsidR="000604A5" w:rsidRPr="000604A5">
        <w:rPr>
          <w:rFonts w:eastAsia="Times New Roman" w:cs="Times New Roman"/>
          <w:szCs w:val="24"/>
        </w:rPr>
        <w:t>, 53 F.3d 549 (2d Cir. 1995)</w:t>
      </w:r>
      <w:r w:rsidR="000604A5">
        <w:rPr>
          <w:rFonts w:eastAsia="Times New Roman" w:cs="Times New Roman"/>
          <w:szCs w:val="24"/>
        </w:rPr>
        <w:t xml:space="preserve">. In the </w:t>
      </w:r>
      <w:r w:rsidR="000604A5">
        <w:rPr>
          <w:rFonts w:eastAsia="Times New Roman" w:cs="Times New Roman"/>
          <w:i/>
          <w:szCs w:val="24"/>
        </w:rPr>
        <w:t>Playboy</w:t>
      </w:r>
      <w:r w:rsidR="000604A5">
        <w:rPr>
          <w:rFonts w:eastAsia="Times New Roman" w:cs="Times New Roman"/>
          <w:szCs w:val="24"/>
        </w:rPr>
        <w:t xml:space="preserve"> case, the court held that the writing requirement for a work made for hire agreement could be satisfied after the work is already created. </w:t>
      </w:r>
      <w:proofErr w:type="gramStart"/>
      <w:r w:rsidR="00556114" w:rsidRPr="00556114">
        <w:rPr>
          <w:rFonts w:eastAsia="Times New Roman" w:cs="Times New Roman"/>
          <w:szCs w:val="24"/>
          <w:u w:val="single"/>
        </w:rPr>
        <w:t>Id</w:t>
      </w:r>
      <w:r w:rsidR="00556114">
        <w:rPr>
          <w:rFonts w:eastAsia="Times New Roman" w:cs="Times New Roman"/>
          <w:szCs w:val="24"/>
        </w:rPr>
        <w:t>. at 559.</w:t>
      </w:r>
      <w:proofErr w:type="gramEnd"/>
      <w:r w:rsidR="00556114">
        <w:rPr>
          <w:rFonts w:eastAsia="Times New Roman" w:cs="Times New Roman"/>
          <w:szCs w:val="24"/>
        </w:rPr>
        <w:t xml:space="preserve"> </w:t>
      </w:r>
      <w:r w:rsidR="000604A5" w:rsidRPr="00556114">
        <w:rPr>
          <w:rFonts w:eastAsia="Times New Roman" w:cs="Times New Roman"/>
          <w:szCs w:val="24"/>
        </w:rPr>
        <w:t>However</w:t>
      </w:r>
      <w:r w:rsidR="00556114">
        <w:rPr>
          <w:rFonts w:eastAsia="Times New Roman" w:cs="Times New Roman"/>
          <w:szCs w:val="24"/>
        </w:rPr>
        <w:t>, in that case</w:t>
      </w:r>
      <w:r w:rsidR="000604A5">
        <w:rPr>
          <w:rFonts w:eastAsia="Times New Roman" w:cs="Times New Roman"/>
          <w:szCs w:val="24"/>
        </w:rPr>
        <w:t xml:space="preserve"> the creator and Playboy had ceased to have any </w:t>
      </w:r>
      <w:r w:rsidR="003115FE">
        <w:rPr>
          <w:rFonts w:eastAsia="Times New Roman" w:cs="Times New Roman"/>
          <w:szCs w:val="24"/>
        </w:rPr>
        <w:t xml:space="preserve">pertinent sort of </w:t>
      </w:r>
      <w:r w:rsidR="000604A5">
        <w:rPr>
          <w:rFonts w:eastAsia="Times New Roman" w:cs="Times New Roman"/>
          <w:szCs w:val="24"/>
        </w:rPr>
        <w:t xml:space="preserve">dialogue. </w:t>
      </w:r>
      <w:proofErr w:type="gramStart"/>
      <w:r w:rsidR="000752AE" w:rsidRPr="000752AE">
        <w:rPr>
          <w:rFonts w:eastAsia="Times New Roman" w:cs="Times New Roman"/>
          <w:szCs w:val="24"/>
          <w:u w:val="single"/>
        </w:rPr>
        <w:t>Id</w:t>
      </w:r>
      <w:r w:rsidR="000752AE">
        <w:rPr>
          <w:rFonts w:eastAsia="Times New Roman" w:cs="Times New Roman"/>
          <w:szCs w:val="24"/>
        </w:rPr>
        <w:t>. at 552.</w:t>
      </w:r>
      <w:proofErr w:type="gramEnd"/>
      <w:r w:rsidR="000752AE">
        <w:rPr>
          <w:rFonts w:eastAsia="Times New Roman" w:cs="Times New Roman"/>
          <w:szCs w:val="24"/>
        </w:rPr>
        <w:t xml:space="preserve"> </w:t>
      </w:r>
      <w:r w:rsidR="003115FE" w:rsidRPr="000752AE">
        <w:rPr>
          <w:rFonts w:eastAsia="Times New Roman" w:cs="Times New Roman"/>
          <w:szCs w:val="24"/>
        </w:rPr>
        <w:t>The</w:t>
      </w:r>
      <w:r w:rsidR="003115FE">
        <w:rPr>
          <w:rFonts w:eastAsia="Times New Roman" w:cs="Times New Roman"/>
          <w:szCs w:val="24"/>
        </w:rPr>
        <w:t xml:space="preserve"> artist deposited paintings </w:t>
      </w:r>
      <w:r w:rsidR="000604A5">
        <w:rPr>
          <w:rFonts w:eastAsia="Times New Roman" w:cs="Times New Roman"/>
          <w:szCs w:val="24"/>
        </w:rPr>
        <w:t xml:space="preserve">and Playboy mailed him checks, with this </w:t>
      </w:r>
      <w:r w:rsidR="003115FE">
        <w:rPr>
          <w:rFonts w:eastAsia="Times New Roman" w:cs="Times New Roman"/>
          <w:szCs w:val="24"/>
        </w:rPr>
        <w:t xml:space="preserve">cycle </w:t>
      </w:r>
      <w:r w:rsidR="000604A5">
        <w:rPr>
          <w:rFonts w:eastAsia="Times New Roman" w:cs="Times New Roman"/>
          <w:szCs w:val="24"/>
        </w:rPr>
        <w:t xml:space="preserve">occurring roughly 285 times. </w:t>
      </w:r>
      <w:r w:rsidR="000604A5">
        <w:rPr>
          <w:rFonts w:eastAsia="Times New Roman" w:cs="Times New Roman"/>
          <w:szCs w:val="24"/>
          <w:u w:val="single"/>
        </w:rPr>
        <w:t>Id</w:t>
      </w:r>
      <w:r w:rsidR="000604A5">
        <w:rPr>
          <w:rFonts w:eastAsia="Times New Roman" w:cs="Times New Roman"/>
          <w:szCs w:val="24"/>
        </w:rPr>
        <w:t xml:space="preserve">. The court found that the legend on these checks was sufficient to satisfy the writing requirement. </w:t>
      </w:r>
      <w:proofErr w:type="gramStart"/>
      <w:r w:rsidR="000752AE">
        <w:rPr>
          <w:rFonts w:eastAsia="Times New Roman" w:cs="Times New Roman"/>
          <w:szCs w:val="24"/>
          <w:u w:val="single"/>
        </w:rPr>
        <w:t>Id</w:t>
      </w:r>
      <w:r w:rsidR="000752AE">
        <w:rPr>
          <w:rFonts w:eastAsia="Times New Roman" w:cs="Times New Roman"/>
          <w:szCs w:val="24"/>
        </w:rPr>
        <w:t>. at 559.</w:t>
      </w:r>
      <w:proofErr w:type="gramEnd"/>
      <w:r w:rsidR="000752AE">
        <w:rPr>
          <w:rFonts w:eastAsia="Times New Roman" w:cs="Times New Roman"/>
          <w:szCs w:val="24"/>
        </w:rPr>
        <w:t xml:space="preserve"> </w:t>
      </w:r>
      <w:r w:rsidR="00A34492">
        <w:rPr>
          <w:rFonts w:eastAsia="Times New Roman" w:cs="Times New Roman"/>
          <w:szCs w:val="24"/>
        </w:rPr>
        <w:t xml:space="preserve">It is important to note, though, that by the time the Copyright Act of 1976 was enacted, Playboy and the artist were multiple years into their steady relationship. </w:t>
      </w:r>
      <w:proofErr w:type="gramStart"/>
      <w:r w:rsidR="000752AE" w:rsidRPr="000752AE">
        <w:rPr>
          <w:rFonts w:eastAsia="Times New Roman" w:cs="Times New Roman"/>
          <w:szCs w:val="24"/>
          <w:u w:val="single"/>
        </w:rPr>
        <w:t>Id</w:t>
      </w:r>
      <w:r w:rsidR="000752AE">
        <w:rPr>
          <w:rFonts w:eastAsia="Times New Roman" w:cs="Times New Roman"/>
          <w:szCs w:val="24"/>
        </w:rPr>
        <w:t>. at 552.</w:t>
      </w:r>
      <w:proofErr w:type="gramEnd"/>
      <w:r w:rsidR="000752AE">
        <w:rPr>
          <w:rFonts w:eastAsia="Times New Roman" w:cs="Times New Roman"/>
          <w:szCs w:val="24"/>
        </w:rPr>
        <w:t xml:space="preserve"> </w:t>
      </w:r>
      <w:r w:rsidR="00A34492">
        <w:rPr>
          <w:rFonts w:eastAsia="Times New Roman" w:cs="Times New Roman"/>
          <w:szCs w:val="24"/>
        </w:rPr>
        <w:t>At this point</w:t>
      </w:r>
      <w:r w:rsidR="000752AE">
        <w:rPr>
          <w:rFonts w:eastAsia="Times New Roman" w:cs="Times New Roman"/>
          <w:szCs w:val="24"/>
        </w:rPr>
        <w:t xml:space="preserve"> in time</w:t>
      </w:r>
      <w:r w:rsidR="00A34492">
        <w:rPr>
          <w:rFonts w:eastAsia="Times New Roman" w:cs="Times New Roman"/>
          <w:szCs w:val="24"/>
        </w:rPr>
        <w:t>, the aforementioned policy concerns regarding the timing of the writing did not carry nearly the same weight, since there could be little doubt about the nature of the business relationship between the two parties. The artist did not need to be concerned about Playboy refusing to pay him, as he had already cashed dozens of checks from the magazine.</w:t>
      </w:r>
      <w:r w:rsidR="00855248">
        <w:rPr>
          <w:rFonts w:eastAsia="Times New Roman" w:cs="Times New Roman"/>
          <w:szCs w:val="24"/>
        </w:rPr>
        <w:t xml:space="preserve"> Therefore, the </w:t>
      </w:r>
      <w:r w:rsidR="00855248">
        <w:rPr>
          <w:rFonts w:eastAsia="Times New Roman" w:cs="Times New Roman"/>
          <w:i/>
          <w:szCs w:val="24"/>
        </w:rPr>
        <w:t>Playboy</w:t>
      </w:r>
      <w:r w:rsidR="00855248">
        <w:rPr>
          <w:rFonts w:eastAsia="Times New Roman" w:cs="Times New Roman"/>
          <w:szCs w:val="24"/>
        </w:rPr>
        <w:t xml:space="preserve"> case is factually distinct from the instant case and should not create a precedent that the written instrument can be signed after the work is created.</w:t>
      </w:r>
    </w:p>
    <w:p w14:paraId="44F1F03F" w14:textId="77777777" w:rsidR="000959EB" w:rsidRPr="00590B89" w:rsidRDefault="00A34492" w:rsidP="00590B89">
      <w:pPr>
        <w:spacing w:after="240"/>
        <w:jc w:val="both"/>
        <w:rPr>
          <w:rFonts w:eastAsia="Times New Roman" w:cs="Times New Roman"/>
          <w:szCs w:val="24"/>
        </w:rPr>
      </w:pPr>
      <w:r>
        <w:rPr>
          <w:rFonts w:eastAsia="Times New Roman" w:cs="Times New Roman"/>
          <w:szCs w:val="24"/>
        </w:rPr>
        <w:tab/>
        <w:t xml:space="preserve">Another crucial facet of the </w:t>
      </w:r>
      <w:r>
        <w:rPr>
          <w:rFonts w:eastAsia="Times New Roman" w:cs="Times New Roman"/>
          <w:i/>
          <w:szCs w:val="24"/>
        </w:rPr>
        <w:t xml:space="preserve">Playboy </w:t>
      </w:r>
      <w:r w:rsidR="00C313E8">
        <w:rPr>
          <w:rFonts w:eastAsia="Times New Roman" w:cs="Times New Roman"/>
          <w:szCs w:val="24"/>
        </w:rPr>
        <w:t>opinion is that it does not hold</w:t>
      </w:r>
      <w:r>
        <w:rPr>
          <w:rFonts w:eastAsia="Times New Roman" w:cs="Times New Roman"/>
          <w:szCs w:val="24"/>
        </w:rPr>
        <w:t xml:space="preserve"> that the work made for hire agreement can be made after the work has been created. R</w:t>
      </w:r>
      <w:r w:rsidR="007260D9">
        <w:rPr>
          <w:rFonts w:eastAsia="Times New Roman" w:cs="Times New Roman"/>
          <w:szCs w:val="24"/>
        </w:rPr>
        <w:t>ather, it is stipulating that</w:t>
      </w:r>
      <w:r>
        <w:rPr>
          <w:rFonts w:eastAsia="Times New Roman" w:cs="Times New Roman"/>
          <w:szCs w:val="24"/>
        </w:rPr>
        <w:t xml:space="preserve"> the written instrument may be signed afterwards</w:t>
      </w:r>
      <w:r w:rsidR="007260D9">
        <w:rPr>
          <w:rFonts w:eastAsia="Times New Roman" w:cs="Times New Roman"/>
          <w:szCs w:val="24"/>
        </w:rPr>
        <w:t>, only as long as the agreement was made before the work was created</w:t>
      </w:r>
      <w:r>
        <w:rPr>
          <w:rFonts w:eastAsia="Times New Roman" w:cs="Times New Roman"/>
          <w:szCs w:val="24"/>
        </w:rPr>
        <w:t xml:space="preserve">. </w:t>
      </w:r>
      <w:r>
        <w:rPr>
          <w:rFonts w:eastAsia="Times New Roman" w:cs="Times New Roman"/>
          <w:szCs w:val="24"/>
          <w:u w:val="single"/>
        </w:rPr>
        <w:t>Id</w:t>
      </w:r>
      <w:r>
        <w:rPr>
          <w:rFonts w:eastAsia="Times New Roman" w:cs="Times New Roman"/>
          <w:szCs w:val="24"/>
        </w:rPr>
        <w:t xml:space="preserve">. at 558-559. </w:t>
      </w:r>
      <w:r w:rsidR="00855248">
        <w:rPr>
          <w:rFonts w:eastAsia="Times New Roman" w:cs="Times New Roman"/>
          <w:szCs w:val="24"/>
        </w:rPr>
        <w:t xml:space="preserve">In the instant case, this is not what happened. In fact, Mr. </w:t>
      </w:r>
      <w:r w:rsidR="00855248">
        <w:rPr>
          <w:rFonts w:eastAsia="Times New Roman" w:cs="Times New Roman"/>
          <w:szCs w:val="24"/>
        </w:rPr>
        <w:lastRenderedPageBreak/>
        <w:t>Nelson made a concerted effort not to create a binding agreement until after the work was created. Therefore, the Court should grant the Motion for Dismissal.</w:t>
      </w:r>
    </w:p>
    <w:p w14:paraId="109A849F" w14:textId="77777777" w:rsidR="0012076A" w:rsidRDefault="0077660E" w:rsidP="0077660E">
      <w:pPr>
        <w:spacing w:after="240"/>
        <w:jc w:val="center"/>
        <w:rPr>
          <w:b/>
          <w:szCs w:val="24"/>
          <w:u w:val="single"/>
        </w:rPr>
      </w:pPr>
      <w:r>
        <w:rPr>
          <w:b/>
          <w:szCs w:val="24"/>
          <w:u w:val="single"/>
        </w:rPr>
        <w:t>CONCLUSION</w:t>
      </w:r>
    </w:p>
    <w:p w14:paraId="12DE722D" w14:textId="77777777" w:rsidR="0077660E" w:rsidRPr="006B6491" w:rsidRDefault="0091167D" w:rsidP="006F4094">
      <w:pPr>
        <w:spacing w:after="240"/>
        <w:jc w:val="both"/>
        <w:rPr>
          <w:szCs w:val="24"/>
        </w:rPr>
      </w:pPr>
      <w:r>
        <w:rPr>
          <w:szCs w:val="24"/>
        </w:rPr>
        <w:tab/>
        <w:t>The plain meaning of the Copyright Act of 1976 is that in order for the screenplay to be considered a work made for hire, the work made for hire agreement must have been signed prior to the creation of the screenpl</w:t>
      </w:r>
      <w:r w:rsidR="000959EB">
        <w:rPr>
          <w:szCs w:val="24"/>
        </w:rPr>
        <w:t>ay. This is supported</w:t>
      </w:r>
      <w:r>
        <w:rPr>
          <w:szCs w:val="24"/>
        </w:rPr>
        <w:t xml:space="preserve"> by the canons of interpretation, which provide clarity to any ambiguity </w:t>
      </w:r>
      <w:r w:rsidR="000959EB">
        <w:rPr>
          <w:szCs w:val="24"/>
        </w:rPr>
        <w:t xml:space="preserve">that is arguably </w:t>
      </w:r>
      <w:r>
        <w:rPr>
          <w:szCs w:val="24"/>
        </w:rPr>
        <w:t xml:space="preserve">left after reading the plain language. Legislative history shows the same congressional intent, along with a desire to protect authors such as Ms. Lime who are unfamiliar with the byzantine structure of copyright law. Policy considerations make it clear that the public will be better off if the statute is interpreted to require a signed writing prior to creation, while the rule of lenity leans heavily in Ms. Lime’s and </w:t>
      </w:r>
      <w:proofErr w:type="spellStart"/>
      <w:r>
        <w:rPr>
          <w:szCs w:val="24"/>
        </w:rPr>
        <w:t>TinyTV’s</w:t>
      </w:r>
      <w:proofErr w:type="spellEnd"/>
      <w:r>
        <w:rPr>
          <w:szCs w:val="24"/>
        </w:rPr>
        <w:t xml:space="preserve"> favor. Finally, the case law that is on point illustrates that Ms. Lime and </w:t>
      </w:r>
      <w:proofErr w:type="spellStart"/>
      <w:r>
        <w:rPr>
          <w:szCs w:val="24"/>
        </w:rPr>
        <w:t>TinyTV</w:t>
      </w:r>
      <w:proofErr w:type="spellEnd"/>
      <w:r>
        <w:rPr>
          <w:szCs w:val="24"/>
        </w:rPr>
        <w:t xml:space="preserve"> are the owners of “Anticipatory Repudiation.” Thus, the Court should grant Ms. Lime</w:t>
      </w:r>
      <w:r w:rsidR="00C741DE">
        <w:rPr>
          <w:szCs w:val="24"/>
        </w:rPr>
        <w:t>’s</w:t>
      </w:r>
      <w:r>
        <w:rPr>
          <w:szCs w:val="24"/>
        </w:rPr>
        <w:t xml:space="preserve"> and </w:t>
      </w:r>
      <w:proofErr w:type="spellStart"/>
      <w:r>
        <w:rPr>
          <w:szCs w:val="24"/>
        </w:rPr>
        <w:t>TinyTV’s</w:t>
      </w:r>
      <w:proofErr w:type="spellEnd"/>
      <w:r>
        <w:rPr>
          <w:szCs w:val="24"/>
        </w:rPr>
        <w:t xml:space="preserve"> Motion for Dismissal under Federal Rule of Civil Procedure 12(b)(6). </w:t>
      </w:r>
    </w:p>
    <w:p w14:paraId="7ACED47A" w14:textId="77777777" w:rsidR="00B3715B" w:rsidRDefault="00B3715B" w:rsidP="00F65EED">
      <w:pPr>
        <w:spacing w:after="240"/>
        <w:rPr>
          <w:rFonts w:eastAsia="Times New Roman" w:cs="Times New Roman"/>
          <w:szCs w:val="24"/>
        </w:rPr>
      </w:pPr>
      <w:r>
        <w:rPr>
          <w:szCs w:val="24"/>
        </w:rPr>
        <w:tab/>
      </w:r>
    </w:p>
    <w:p w14:paraId="6BBA4BFF" w14:textId="77777777" w:rsidR="00A41B14" w:rsidRDefault="00534F45" w:rsidP="001D3194">
      <w:pPr>
        <w:spacing w:after="240"/>
        <w:ind w:left="720" w:hanging="720"/>
        <w:rPr>
          <w:rFonts w:eastAsia="Times New Roman" w:cs="Times New Roman"/>
          <w:szCs w:val="24"/>
        </w:rPr>
      </w:pPr>
      <w:r>
        <w:rPr>
          <w:rFonts w:eastAsia="Times New Roman" w:cs="Times New Roman"/>
          <w:szCs w:val="24"/>
        </w:rPr>
        <w:tab/>
      </w:r>
    </w:p>
    <w:p w14:paraId="65026341" w14:textId="77777777" w:rsidR="00A41B14" w:rsidRDefault="00A41B14" w:rsidP="00925EAD">
      <w:pPr>
        <w:ind w:left="4320"/>
      </w:pPr>
      <w:r>
        <w:t>Respectfully submitted,</w:t>
      </w:r>
    </w:p>
    <w:p w14:paraId="27A6AAED" w14:textId="77777777" w:rsidR="00A41B14" w:rsidRDefault="00A41B14" w:rsidP="00925EAD">
      <w:pPr>
        <w:ind w:left="4320"/>
      </w:pPr>
      <w:r>
        <w:t>_____________________________</w:t>
      </w:r>
    </w:p>
    <w:p w14:paraId="3FF818AB" w14:textId="77777777" w:rsidR="00925EAD" w:rsidRDefault="00925EAD" w:rsidP="00925EAD">
      <w:pPr>
        <w:spacing w:line="240" w:lineRule="auto"/>
      </w:pPr>
      <w:r>
        <w:t>Dated: March 22, 2012</w:t>
      </w:r>
    </w:p>
    <w:p w14:paraId="2BD73868" w14:textId="77777777" w:rsidR="001175B8" w:rsidRPr="005C6FE3" w:rsidRDefault="00700132" w:rsidP="005C6FE3">
      <w:pPr>
        <w:spacing w:line="240" w:lineRule="auto"/>
        <w:ind w:left="4320"/>
      </w:pPr>
      <w:r>
        <w:rPr>
          <w:rFonts w:eastAsia="Times New Roman" w:cs="Times New Roman"/>
          <w:szCs w:val="24"/>
        </w:rPr>
        <w:t>&lt;redacted&gt;&lt;/redacted&gt;</w:t>
      </w:r>
      <w:bookmarkStart w:id="0" w:name="_GoBack"/>
      <w:bookmarkEnd w:id="0"/>
    </w:p>
    <w:sectPr w:rsidR="001175B8" w:rsidRPr="005C6F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35691"/>
    <w:multiLevelType w:val="hybridMultilevel"/>
    <w:tmpl w:val="562431E0"/>
    <w:lvl w:ilvl="0" w:tplc="6630B3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5635C37"/>
    <w:multiLevelType w:val="hybridMultilevel"/>
    <w:tmpl w:val="8F16BC92"/>
    <w:lvl w:ilvl="0" w:tplc="05CCD7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9050098"/>
    <w:multiLevelType w:val="hybridMultilevel"/>
    <w:tmpl w:val="EE68A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E23FAA"/>
    <w:multiLevelType w:val="hybridMultilevel"/>
    <w:tmpl w:val="05BEB0A6"/>
    <w:lvl w:ilvl="0" w:tplc="71A2C3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9D6408"/>
    <w:multiLevelType w:val="hybridMultilevel"/>
    <w:tmpl w:val="7B248620"/>
    <w:lvl w:ilvl="0" w:tplc="0638E6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9F5"/>
    <w:rsid w:val="00022007"/>
    <w:rsid w:val="000229EF"/>
    <w:rsid w:val="00025357"/>
    <w:rsid w:val="000460E2"/>
    <w:rsid w:val="000604A5"/>
    <w:rsid w:val="000752AE"/>
    <w:rsid w:val="000959EB"/>
    <w:rsid w:val="000A060C"/>
    <w:rsid w:val="000C4BC2"/>
    <w:rsid w:val="000C5BF0"/>
    <w:rsid w:val="000D0872"/>
    <w:rsid w:val="001175B8"/>
    <w:rsid w:val="0012076A"/>
    <w:rsid w:val="001A6BCD"/>
    <w:rsid w:val="001D3194"/>
    <w:rsid w:val="00265AE5"/>
    <w:rsid w:val="0026677D"/>
    <w:rsid w:val="0028612C"/>
    <w:rsid w:val="002A0242"/>
    <w:rsid w:val="002D1EA2"/>
    <w:rsid w:val="002D337C"/>
    <w:rsid w:val="002E5270"/>
    <w:rsid w:val="002F52E7"/>
    <w:rsid w:val="003115FE"/>
    <w:rsid w:val="00372027"/>
    <w:rsid w:val="004175B9"/>
    <w:rsid w:val="0043775A"/>
    <w:rsid w:val="00480107"/>
    <w:rsid w:val="004A395F"/>
    <w:rsid w:val="004C1B7C"/>
    <w:rsid w:val="004E43C0"/>
    <w:rsid w:val="00507858"/>
    <w:rsid w:val="00507AF1"/>
    <w:rsid w:val="00517A96"/>
    <w:rsid w:val="00534F45"/>
    <w:rsid w:val="00556114"/>
    <w:rsid w:val="00590B89"/>
    <w:rsid w:val="00594503"/>
    <w:rsid w:val="005A6B3E"/>
    <w:rsid w:val="005A6F38"/>
    <w:rsid w:val="005B54AB"/>
    <w:rsid w:val="005C6FE3"/>
    <w:rsid w:val="006012AE"/>
    <w:rsid w:val="00633EBB"/>
    <w:rsid w:val="006534E3"/>
    <w:rsid w:val="00671648"/>
    <w:rsid w:val="006B6491"/>
    <w:rsid w:val="006F135F"/>
    <w:rsid w:val="006F4094"/>
    <w:rsid w:val="00700132"/>
    <w:rsid w:val="007260D9"/>
    <w:rsid w:val="007504FE"/>
    <w:rsid w:val="0077660E"/>
    <w:rsid w:val="007C3BD8"/>
    <w:rsid w:val="007D5C22"/>
    <w:rsid w:val="007F45EA"/>
    <w:rsid w:val="007F485A"/>
    <w:rsid w:val="00831883"/>
    <w:rsid w:val="00855248"/>
    <w:rsid w:val="00862CA9"/>
    <w:rsid w:val="008B1D24"/>
    <w:rsid w:val="008C52FD"/>
    <w:rsid w:val="0091167D"/>
    <w:rsid w:val="00916F15"/>
    <w:rsid w:val="00925EAD"/>
    <w:rsid w:val="00936AD2"/>
    <w:rsid w:val="00967394"/>
    <w:rsid w:val="009674E5"/>
    <w:rsid w:val="0097698A"/>
    <w:rsid w:val="009A4F27"/>
    <w:rsid w:val="009D3F20"/>
    <w:rsid w:val="009D4440"/>
    <w:rsid w:val="009E4D1A"/>
    <w:rsid w:val="009F0F60"/>
    <w:rsid w:val="00A054EB"/>
    <w:rsid w:val="00A16A6B"/>
    <w:rsid w:val="00A2747F"/>
    <w:rsid w:val="00A34492"/>
    <w:rsid w:val="00A41B14"/>
    <w:rsid w:val="00A5162A"/>
    <w:rsid w:val="00A647E5"/>
    <w:rsid w:val="00A64965"/>
    <w:rsid w:val="00AD2F03"/>
    <w:rsid w:val="00B00CF1"/>
    <w:rsid w:val="00B00D5B"/>
    <w:rsid w:val="00B136B2"/>
    <w:rsid w:val="00B152FA"/>
    <w:rsid w:val="00B3715B"/>
    <w:rsid w:val="00C05041"/>
    <w:rsid w:val="00C07CBC"/>
    <w:rsid w:val="00C10457"/>
    <w:rsid w:val="00C1513C"/>
    <w:rsid w:val="00C313E8"/>
    <w:rsid w:val="00C671DF"/>
    <w:rsid w:val="00C71865"/>
    <w:rsid w:val="00C741DE"/>
    <w:rsid w:val="00CA37AC"/>
    <w:rsid w:val="00CE648F"/>
    <w:rsid w:val="00D07FB6"/>
    <w:rsid w:val="00D3510C"/>
    <w:rsid w:val="00D41EAC"/>
    <w:rsid w:val="00D43722"/>
    <w:rsid w:val="00D44380"/>
    <w:rsid w:val="00D56845"/>
    <w:rsid w:val="00D817FF"/>
    <w:rsid w:val="00DC1D91"/>
    <w:rsid w:val="00DE0848"/>
    <w:rsid w:val="00E14AAB"/>
    <w:rsid w:val="00E742FD"/>
    <w:rsid w:val="00E8516D"/>
    <w:rsid w:val="00E95E15"/>
    <w:rsid w:val="00EA5126"/>
    <w:rsid w:val="00EA7E1C"/>
    <w:rsid w:val="00F05C56"/>
    <w:rsid w:val="00F65EED"/>
    <w:rsid w:val="00F809F5"/>
    <w:rsid w:val="00F85299"/>
    <w:rsid w:val="00F86070"/>
    <w:rsid w:val="00FB10AA"/>
    <w:rsid w:val="00FB7B2A"/>
    <w:rsid w:val="00FC7B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1DE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9F5"/>
    <w:pPr>
      <w:spacing w:after="0" w:line="48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uiPriority w:val="59"/>
    <w:rsid w:val="00F809F5"/>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F809F5"/>
    <w:pPr>
      <w:ind w:left="720"/>
      <w:contextualSpacing/>
    </w:pPr>
  </w:style>
  <w:style w:type="character" w:styleId="Hyperlink">
    <w:name w:val="Hyperlink"/>
    <w:basedOn w:val="DefaultParagraphFont"/>
    <w:uiPriority w:val="99"/>
    <w:unhideWhenUsed/>
    <w:rsid w:val="004175B9"/>
    <w:rPr>
      <w:color w:val="0000FF" w:themeColor="hyperlink"/>
      <w:u w:val="single"/>
    </w:rPr>
  </w:style>
  <w:style w:type="character" w:customStyle="1" w:styleId="apple-converted-space">
    <w:name w:val="apple-converted-space"/>
    <w:basedOn w:val="DefaultParagraphFont"/>
    <w:rsid w:val="008C52FD"/>
  </w:style>
  <w:style w:type="character" w:customStyle="1" w:styleId="costarpage">
    <w:name w:val="co_starpage"/>
    <w:basedOn w:val="DefaultParagraphFont"/>
    <w:rsid w:val="00D3510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9F5"/>
    <w:pPr>
      <w:spacing w:after="0" w:line="48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uiPriority w:val="59"/>
    <w:rsid w:val="00F809F5"/>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F809F5"/>
    <w:pPr>
      <w:ind w:left="720"/>
      <w:contextualSpacing/>
    </w:pPr>
  </w:style>
  <w:style w:type="character" w:styleId="Hyperlink">
    <w:name w:val="Hyperlink"/>
    <w:basedOn w:val="DefaultParagraphFont"/>
    <w:uiPriority w:val="99"/>
    <w:unhideWhenUsed/>
    <w:rsid w:val="004175B9"/>
    <w:rPr>
      <w:color w:val="0000FF" w:themeColor="hyperlink"/>
      <w:u w:val="single"/>
    </w:rPr>
  </w:style>
  <w:style w:type="character" w:customStyle="1" w:styleId="apple-converted-space">
    <w:name w:val="apple-converted-space"/>
    <w:basedOn w:val="DefaultParagraphFont"/>
    <w:rsid w:val="008C52FD"/>
  </w:style>
  <w:style w:type="character" w:customStyle="1" w:styleId="costarpage">
    <w:name w:val="co_starpage"/>
    <w:basedOn w:val="DefaultParagraphFont"/>
    <w:rsid w:val="00D35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4816">
      <w:bodyDiv w:val="1"/>
      <w:marLeft w:val="0"/>
      <w:marRight w:val="0"/>
      <w:marTop w:val="0"/>
      <w:marBottom w:val="0"/>
      <w:divBdr>
        <w:top w:val="none" w:sz="0" w:space="0" w:color="auto"/>
        <w:left w:val="none" w:sz="0" w:space="0" w:color="auto"/>
        <w:bottom w:val="none" w:sz="0" w:space="0" w:color="auto"/>
        <w:right w:val="none" w:sz="0" w:space="0" w:color="auto"/>
      </w:divBdr>
      <w:divsChild>
        <w:div w:id="1651860904">
          <w:marLeft w:val="0"/>
          <w:marRight w:val="0"/>
          <w:marTop w:val="0"/>
          <w:marBottom w:val="0"/>
          <w:divBdr>
            <w:top w:val="none" w:sz="0" w:space="0" w:color="auto"/>
            <w:left w:val="none" w:sz="0" w:space="0" w:color="auto"/>
            <w:bottom w:val="none" w:sz="0" w:space="0" w:color="auto"/>
            <w:right w:val="none" w:sz="0" w:space="0" w:color="auto"/>
          </w:divBdr>
          <w:divsChild>
            <w:div w:id="5726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418162">
      <w:bodyDiv w:val="1"/>
      <w:marLeft w:val="0"/>
      <w:marRight w:val="0"/>
      <w:marTop w:val="0"/>
      <w:marBottom w:val="0"/>
      <w:divBdr>
        <w:top w:val="none" w:sz="0" w:space="0" w:color="auto"/>
        <w:left w:val="none" w:sz="0" w:space="0" w:color="auto"/>
        <w:bottom w:val="none" w:sz="0" w:space="0" w:color="auto"/>
        <w:right w:val="none" w:sz="0" w:space="0" w:color="auto"/>
      </w:divBdr>
      <w:divsChild>
        <w:div w:id="150096651">
          <w:marLeft w:val="0"/>
          <w:marRight w:val="0"/>
          <w:marTop w:val="0"/>
          <w:marBottom w:val="0"/>
          <w:divBdr>
            <w:top w:val="none" w:sz="0" w:space="0" w:color="auto"/>
            <w:left w:val="none" w:sz="0" w:space="0" w:color="auto"/>
            <w:bottom w:val="none" w:sz="0" w:space="0" w:color="auto"/>
            <w:right w:val="none" w:sz="0" w:space="0" w:color="auto"/>
          </w:divBdr>
          <w:divsChild>
            <w:div w:id="42133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4504">
      <w:bodyDiv w:val="1"/>
      <w:marLeft w:val="0"/>
      <w:marRight w:val="0"/>
      <w:marTop w:val="0"/>
      <w:marBottom w:val="0"/>
      <w:divBdr>
        <w:top w:val="none" w:sz="0" w:space="0" w:color="auto"/>
        <w:left w:val="none" w:sz="0" w:space="0" w:color="auto"/>
        <w:bottom w:val="none" w:sz="0" w:space="0" w:color="auto"/>
        <w:right w:val="none" w:sz="0" w:space="0" w:color="auto"/>
      </w:divBdr>
      <w:divsChild>
        <w:div w:id="828256346">
          <w:marLeft w:val="0"/>
          <w:marRight w:val="0"/>
          <w:marTop w:val="0"/>
          <w:marBottom w:val="0"/>
          <w:divBdr>
            <w:top w:val="none" w:sz="0" w:space="0" w:color="auto"/>
            <w:left w:val="none" w:sz="0" w:space="0" w:color="auto"/>
            <w:bottom w:val="none" w:sz="0" w:space="0" w:color="auto"/>
            <w:right w:val="none" w:sz="0" w:space="0" w:color="auto"/>
          </w:divBdr>
          <w:divsChild>
            <w:div w:id="163671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546">
      <w:bodyDiv w:val="1"/>
      <w:marLeft w:val="0"/>
      <w:marRight w:val="0"/>
      <w:marTop w:val="0"/>
      <w:marBottom w:val="0"/>
      <w:divBdr>
        <w:top w:val="none" w:sz="0" w:space="0" w:color="auto"/>
        <w:left w:val="none" w:sz="0" w:space="0" w:color="auto"/>
        <w:bottom w:val="none" w:sz="0" w:space="0" w:color="auto"/>
        <w:right w:val="none" w:sz="0" w:space="0" w:color="auto"/>
      </w:divBdr>
      <w:divsChild>
        <w:div w:id="38750694">
          <w:marLeft w:val="0"/>
          <w:marRight w:val="0"/>
          <w:marTop w:val="0"/>
          <w:marBottom w:val="0"/>
          <w:divBdr>
            <w:top w:val="none" w:sz="0" w:space="0" w:color="auto"/>
            <w:left w:val="none" w:sz="0" w:space="0" w:color="auto"/>
            <w:bottom w:val="none" w:sz="0" w:space="0" w:color="auto"/>
            <w:right w:val="none" w:sz="0" w:space="0" w:color="auto"/>
          </w:divBdr>
          <w:divsChild>
            <w:div w:id="13733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61807">
      <w:bodyDiv w:val="1"/>
      <w:marLeft w:val="0"/>
      <w:marRight w:val="0"/>
      <w:marTop w:val="0"/>
      <w:marBottom w:val="0"/>
      <w:divBdr>
        <w:top w:val="none" w:sz="0" w:space="0" w:color="auto"/>
        <w:left w:val="none" w:sz="0" w:space="0" w:color="auto"/>
        <w:bottom w:val="none" w:sz="0" w:space="0" w:color="auto"/>
        <w:right w:val="none" w:sz="0" w:space="0" w:color="auto"/>
      </w:divBdr>
      <w:divsChild>
        <w:div w:id="1475754342">
          <w:marLeft w:val="0"/>
          <w:marRight w:val="0"/>
          <w:marTop w:val="0"/>
          <w:marBottom w:val="0"/>
          <w:divBdr>
            <w:top w:val="none" w:sz="0" w:space="0" w:color="auto"/>
            <w:left w:val="none" w:sz="0" w:space="0" w:color="auto"/>
            <w:bottom w:val="none" w:sz="0" w:space="0" w:color="auto"/>
            <w:right w:val="none" w:sz="0" w:space="0" w:color="auto"/>
          </w:divBdr>
          <w:divsChild>
            <w:div w:id="43320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8091">
      <w:bodyDiv w:val="1"/>
      <w:marLeft w:val="0"/>
      <w:marRight w:val="0"/>
      <w:marTop w:val="0"/>
      <w:marBottom w:val="0"/>
      <w:divBdr>
        <w:top w:val="none" w:sz="0" w:space="0" w:color="auto"/>
        <w:left w:val="none" w:sz="0" w:space="0" w:color="auto"/>
        <w:bottom w:val="none" w:sz="0" w:space="0" w:color="auto"/>
        <w:right w:val="none" w:sz="0" w:space="0" w:color="auto"/>
      </w:divBdr>
      <w:divsChild>
        <w:div w:id="717825254">
          <w:marLeft w:val="0"/>
          <w:marRight w:val="0"/>
          <w:marTop w:val="0"/>
          <w:marBottom w:val="0"/>
          <w:divBdr>
            <w:top w:val="none" w:sz="0" w:space="0" w:color="auto"/>
            <w:left w:val="none" w:sz="0" w:space="0" w:color="auto"/>
            <w:bottom w:val="none" w:sz="0" w:space="0" w:color="auto"/>
            <w:right w:val="none" w:sz="0" w:space="0" w:color="auto"/>
          </w:divBdr>
          <w:divsChild>
            <w:div w:id="175874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956911">
      <w:bodyDiv w:val="1"/>
      <w:marLeft w:val="0"/>
      <w:marRight w:val="0"/>
      <w:marTop w:val="0"/>
      <w:marBottom w:val="0"/>
      <w:divBdr>
        <w:top w:val="none" w:sz="0" w:space="0" w:color="auto"/>
        <w:left w:val="none" w:sz="0" w:space="0" w:color="auto"/>
        <w:bottom w:val="none" w:sz="0" w:space="0" w:color="auto"/>
        <w:right w:val="none" w:sz="0" w:space="0" w:color="auto"/>
      </w:divBdr>
      <w:divsChild>
        <w:div w:id="696540140">
          <w:marLeft w:val="0"/>
          <w:marRight w:val="0"/>
          <w:marTop w:val="0"/>
          <w:marBottom w:val="0"/>
          <w:divBdr>
            <w:top w:val="none" w:sz="0" w:space="0" w:color="auto"/>
            <w:left w:val="none" w:sz="0" w:space="0" w:color="auto"/>
            <w:bottom w:val="none" w:sz="0" w:space="0" w:color="auto"/>
            <w:right w:val="none" w:sz="0" w:space="0" w:color="auto"/>
          </w:divBdr>
          <w:divsChild>
            <w:div w:id="9765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286">
      <w:bodyDiv w:val="1"/>
      <w:marLeft w:val="0"/>
      <w:marRight w:val="0"/>
      <w:marTop w:val="0"/>
      <w:marBottom w:val="0"/>
      <w:divBdr>
        <w:top w:val="none" w:sz="0" w:space="0" w:color="auto"/>
        <w:left w:val="none" w:sz="0" w:space="0" w:color="auto"/>
        <w:bottom w:val="none" w:sz="0" w:space="0" w:color="auto"/>
        <w:right w:val="none" w:sz="0" w:space="0" w:color="auto"/>
      </w:divBdr>
      <w:divsChild>
        <w:div w:id="1628854503">
          <w:marLeft w:val="0"/>
          <w:marRight w:val="0"/>
          <w:marTop w:val="0"/>
          <w:marBottom w:val="0"/>
          <w:divBdr>
            <w:top w:val="none" w:sz="0" w:space="0" w:color="auto"/>
            <w:left w:val="none" w:sz="0" w:space="0" w:color="auto"/>
            <w:bottom w:val="none" w:sz="0" w:space="0" w:color="auto"/>
            <w:right w:val="none" w:sz="0" w:space="0" w:color="auto"/>
          </w:divBdr>
          <w:divsChild>
            <w:div w:id="112620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266045">
      <w:bodyDiv w:val="1"/>
      <w:marLeft w:val="0"/>
      <w:marRight w:val="0"/>
      <w:marTop w:val="0"/>
      <w:marBottom w:val="0"/>
      <w:divBdr>
        <w:top w:val="none" w:sz="0" w:space="0" w:color="auto"/>
        <w:left w:val="none" w:sz="0" w:space="0" w:color="auto"/>
        <w:bottom w:val="none" w:sz="0" w:space="0" w:color="auto"/>
        <w:right w:val="none" w:sz="0" w:space="0" w:color="auto"/>
      </w:divBdr>
      <w:divsChild>
        <w:div w:id="112943115">
          <w:marLeft w:val="0"/>
          <w:marRight w:val="0"/>
          <w:marTop w:val="0"/>
          <w:marBottom w:val="0"/>
          <w:divBdr>
            <w:top w:val="none" w:sz="0" w:space="0" w:color="auto"/>
            <w:left w:val="none" w:sz="0" w:space="0" w:color="auto"/>
            <w:bottom w:val="none" w:sz="0" w:space="0" w:color="auto"/>
            <w:right w:val="none" w:sz="0" w:space="0" w:color="auto"/>
          </w:divBdr>
          <w:divsChild>
            <w:div w:id="35064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160963">
      <w:bodyDiv w:val="1"/>
      <w:marLeft w:val="0"/>
      <w:marRight w:val="0"/>
      <w:marTop w:val="0"/>
      <w:marBottom w:val="0"/>
      <w:divBdr>
        <w:top w:val="none" w:sz="0" w:space="0" w:color="auto"/>
        <w:left w:val="none" w:sz="0" w:space="0" w:color="auto"/>
        <w:bottom w:val="none" w:sz="0" w:space="0" w:color="auto"/>
        <w:right w:val="none" w:sz="0" w:space="0" w:color="auto"/>
      </w:divBdr>
      <w:divsChild>
        <w:div w:id="340740890">
          <w:marLeft w:val="0"/>
          <w:marRight w:val="0"/>
          <w:marTop w:val="0"/>
          <w:marBottom w:val="0"/>
          <w:divBdr>
            <w:top w:val="none" w:sz="0" w:space="0" w:color="auto"/>
            <w:left w:val="none" w:sz="0" w:space="0" w:color="auto"/>
            <w:bottom w:val="none" w:sz="0" w:space="0" w:color="auto"/>
            <w:right w:val="none" w:sz="0" w:space="0" w:color="auto"/>
          </w:divBdr>
          <w:divsChild>
            <w:div w:id="198666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015917">
      <w:bodyDiv w:val="1"/>
      <w:marLeft w:val="0"/>
      <w:marRight w:val="0"/>
      <w:marTop w:val="0"/>
      <w:marBottom w:val="0"/>
      <w:divBdr>
        <w:top w:val="none" w:sz="0" w:space="0" w:color="auto"/>
        <w:left w:val="none" w:sz="0" w:space="0" w:color="auto"/>
        <w:bottom w:val="none" w:sz="0" w:space="0" w:color="auto"/>
        <w:right w:val="none" w:sz="0" w:space="0" w:color="auto"/>
      </w:divBdr>
      <w:divsChild>
        <w:div w:id="296303211">
          <w:marLeft w:val="0"/>
          <w:marRight w:val="0"/>
          <w:marTop w:val="0"/>
          <w:marBottom w:val="0"/>
          <w:divBdr>
            <w:top w:val="none" w:sz="0" w:space="0" w:color="auto"/>
            <w:left w:val="none" w:sz="0" w:space="0" w:color="auto"/>
            <w:bottom w:val="none" w:sz="0" w:space="0" w:color="auto"/>
            <w:right w:val="none" w:sz="0" w:space="0" w:color="auto"/>
          </w:divBdr>
          <w:divsChild>
            <w:div w:id="109092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91021">
      <w:bodyDiv w:val="1"/>
      <w:marLeft w:val="0"/>
      <w:marRight w:val="0"/>
      <w:marTop w:val="0"/>
      <w:marBottom w:val="0"/>
      <w:divBdr>
        <w:top w:val="none" w:sz="0" w:space="0" w:color="auto"/>
        <w:left w:val="none" w:sz="0" w:space="0" w:color="auto"/>
        <w:bottom w:val="none" w:sz="0" w:space="0" w:color="auto"/>
        <w:right w:val="none" w:sz="0" w:space="0" w:color="auto"/>
      </w:divBdr>
      <w:divsChild>
        <w:div w:id="803231462">
          <w:marLeft w:val="0"/>
          <w:marRight w:val="0"/>
          <w:marTop w:val="0"/>
          <w:marBottom w:val="0"/>
          <w:divBdr>
            <w:top w:val="none" w:sz="0" w:space="0" w:color="auto"/>
            <w:left w:val="none" w:sz="0" w:space="0" w:color="auto"/>
            <w:bottom w:val="none" w:sz="0" w:space="0" w:color="auto"/>
            <w:right w:val="none" w:sz="0" w:space="0" w:color="auto"/>
          </w:divBdr>
          <w:divsChild>
            <w:div w:id="21778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937433">
      <w:bodyDiv w:val="1"/>
      <w:marLeft w:val="0"/>
      <w:marRight w:val="0"/>
      <w:marTop w:val="0"/>
      <w:marBottom w:val="0"/>
      <w:divBdr>
        <w:top w:val="none" w:sz="0" w:space="0" w:color="auto"/>
        <w:left w:val="none" w:sz="0" w:space="0" w:color="auto"/>
        <w:bottom w:val="none" w:sz="0" w:space="0" w:color="auto"/>
        <w:right w:val="none" w:sz="0" w:space="0" w:color="auto"/>
      </w:divBdr>
      <w:divsChild>
        <w:div w:id="938606857">
          <w:marLeft w:val="0"/>
          <w:marRight w:val="0"/>
          <w:marTop w:val="0"/>
          <w:marBottom w:val="0"/>
          <w:divBdr>
            <w:top w:val="none" w:sz="0" w:space="0" w:color="auto"/>
            <w:left w:val="none" w:sz="0" w:space="0" w:color="auto"/>
            <w:bottom w:val="none" w:sz="0" w:space="0" w:color="auto"/>
            <w:right w:val="none" w:sz="0" w:space="0" w:color="auto"/>
          </w:divBdr>
          <w:divsChild>
            <w:div w:id="20664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12963">
      <w:bodyDiv w:val="1"/>
      <w:marLeft w:val="0"/>
      <w:marRight w:val="0"/>
      <w:marTop w:val="0"/>
      <w:marBottom w:val="0"/>
      <w:divBdr>
        <w:top w:val="none" w:sz="0" w:space="0" w:color="auto"/>
        <w:left w:val="none" w:sz="0" w:space="0" w:color="auto"/>
        <w:bottom w:val="none" w:sz="0" w:space="0" w:color="auto"/>
        <w:right w:val="none" w:sz="0" w:space="0" w:color="auto"/>
      </w:divBdr>
      <w:divsChild>
        <w:div w:id="248272247">
          <w:marLeft w:val="0"/>
          <w:marRight w:val="0"/>
          <w:marTop w:val="0"/>
          <w:marBottom w:val="0"/>
          <w:divBdr>
            <w:top w:val="none" w:sz="0" w:space="0" w:color="auto"/>
            <w:left w:val="none" w:sz="0" w:space="0" w:color="auto"/>
            <w:bottom w:val="none" w:sz="0" w:space="0" w:color="auto"/>
            <w:right w:val="none" w:sz="0" w:space="0" w:color="auto"/>
          </w:divBdr>
          <w:divsChild>
            <w:div w:id="187939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038591">
      <w:bodyDiv w:val="1"/>
      <w:marLeft w:val="0"/>
      <w:marRight w:val="0"/>
      <w:marTop w:val="0"/>
      <w:marBottom w:val="0"/>
      <w:divBdr>
        <w:top w:val="none" w:sz="0" w:space="0" w:color="auto"/>
        <w:left w:val="none" w:sz="0" w:space="0" w:color="auto"/>
        <w:bottom w:val="none" w:sz="0" w:space="0" w:color="auto"/>
        <w:right w:val="none" w:sz="0" w:space="0" w:color="auto"/>
      </w:divBdr>
      <w:divsChild>
        <w:div w:id="2109807580">
          <w:marLeft w:val="0"/>
          <w:marRight w:val="0"/>
          <w:marTop w:val="0"/>
          <w:marBottom w:val="0"/>
          <w:divBdr>
            <w:top w:val="none" w:sz="0" w:space="0" w:color="auto"/>
            <w:left w:val="none" w:sz="0" w:space="0" w:color="auto"/>
            <w:bottom w:val="none" w:sz="0" w:space="0" w:color="auto"/>
            <w:right w:val="none" w:sz="0" w:space="0" w:color="auto"/>
          </w:divBdr>
          <w:divsChild>
            <w:div w:id="9880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28335">
      <w:bodyDiv w:val="1"/>
      <w:marLeft w:val="0"/>
      <w:marRight w:val="0"/>
      <w:marTop w:val="0"/>
      <w:marBottom w:val="0"/>
      <w:divBdr>
        <w:top w:val="none" w:sz="0" w:space="0" w:color="auto"/>
        <w:left w:val="none" w:sz="0" w:space="0" w:color="auto"/>
        <w:bottom w:val="none" w:sz="0" w:space="0" w:color="auto"/>
        <w:right w:val="none" w:sz="0" w:space="0" w:color="auto"/>
      </w:divBdr>
      <w:divsChild>
        <w:div w:id="989602504">
          <w:marLeft w:val="0"/>
          <w:marRight w:val="0"/>
          <w:marTop w:val="0"/>
          <w:marBottom w:val="0"/>
          <w:divBdr>
            <w:top w:val="none" w:sz="0" w:space="0" w:color="auto"/>
            <w:left w:val="none" w:sz="0" w:space="0" w:color="auto"/>
            <w:bottom w:val="none" w:sz="0" w:space="0" w:color="auto"/>
            <w:right w:val="none" w:sz="0" w:space="0" w:color="auto"/>
          </w:divBdr>
          <w:divsChild>
            <w:div w:id="20232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4588">
      <w:bodyDiv w:val="1"/>
      <w:marLeft w:val="0"/>
      <w:marRight w:val="0"/>
      <w:marTop w:val="0"/>
      <w:marBottom w:val="0"/>
      <w:divBdr>
        <w:top w:val="none" w:sz="0" w:space="0" w:color="auto"/>
        <w:left w:val="none" w:sz="0" w:space="0" w:color="auto"/>
        <w:bottom w:val="none" w:sz="0" w:space="0" w:color="auto"/>
        <w:right w:val="none" w:sz="0" w:space="0" w:color="auto"/>
      </w:divBdr>
      <w:divsChild>
        <w:div w:id="599021877">
          <w:marLeft w:val="0"/>
          <w:marRight w:val="0"/>
          <w:marTop w:val="0"/>
          <w:marBottom w:val="0"/>
          <w:divBdr>
            <w:top w:val="none" w:sz="0" w:space="0" w:color="auto"/>
            <w:left w:val="none" w:sz="0" w:space="0" w:color="auto"/>
            <w:bottom w:val="none" w:sz="0" w:space="0" w:color="auto"/>
            <w:right w:val="none" w:sz="0" w:space="0" w:color="auto"/>
          </w:divBdr>
          <w:divsChild>
            <w:div w:id="84759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782871">
      <w:bodyDiv w:val="1"/>
      <w:marLeft w:val="0"/>
      <w:marRight w:val="0"/>
      <w:marTop w:val="0"/>
      <w:marBottom w:val="0"/>
      <w:divBdr>
        <w:top w:val="none" w:sz="0" w:space="0" w:color="auto"/>
        <w:left w:val="none" w:sz="0" w:space="0" w:color="auto"/>
        <w:bottom w:val="none" w:sz="0" w:space="0" w:color="auto"/>
        <w:right w:val="none" w:sz="0" w:space="0" w:color="auto"/>
      </w:divBdr>
      <w:divsChild>
        <w:div w:id="1103914324">
          <w:marLeft w:val="0"/>
          <w:marRight w:val="0"/>
          <w:marTop w:val="0"/>
          <w:marBottom w:val="0"/>
          <w:divBdr>
            <w:top w:val="none" w:sz="0" w:space="0" w:color="auto"/>
            <w:left w:val="none" w:sz="0" w:space="0" w:color="auto"/>
            <w:bottom w:val="none" w:sz="0" w:space="0" w:color="auto"/>
            <w:right w:val="none" w:sz="0" w:space="0" w:color="auto"/>
          </w:divBdr>
          <w:divsChild>
            <w:div w:id="117657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15222">
      <w:bodyDiv w:val="1"/>
      <w:marLeft w:val="0"/>
      <w:marRight w:val="0"/>
      <w:marTop w:val="0"/>
      <w:marBottom w:val="0"/>
      <w:divBdr>
        <w:top w:val="none" w:sz="0" w:space="0" w:color="auto"/>
        <w:left w:val="none" w:sz="0" w:space="0" w:color="auto"/>
        <w:bottom w:val="none" w:sz="0" w:space="0" w:color="auto"/>
        <w:right w:val="none" w:sz="0" w:space="0" w:color="auto"/>
      </w:divBdr>
      <w:divsChild>
        <w:div w:id="283078002">
          <w:marLeft w:val="0"/>
          <w:marRight w:val="0"/>
          <w:marTop w:val="0"/>
          <w:marBottom w:val="0"/>
          <w:divBdr>
            <w:top w:val="none" w:sz="0" w:space="0" w:color="auto"/>
            <w:left w:val="none" w:sz="0" w:space="0" w:color="auto"/>
            <w:bottom w:val="none" w:sz="0" w:space="0" w:color="auto"/>
            <w:right w:val="none" w:sz="0" w:space="0" w:color="auto"/>
          </w:divBdr>
          <w:divsChild>
            <w:div w:id="120876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4565</Words>
  <Characters>22597</Characters>
  <Application>Microsoft Macintosh Word</Application>
  <DocSecurity>0</DocSecurity>
  <Lines>347</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2012-04-15T14:01:00Z</dcterms:created>
  <dcterms:modified xsi:type="dcterms:W3CDTF">2012-06-02T13:10:00Z</dcterms:modified>
  <cp:category/>
</cp:coreProperties>
</file>